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621" w:lineRule="exact"/>
        <w:ind w:left="0" w:right="19" w:firstLine="0"/>
        <w:jc w:val="center"/>
        <w:textAlignment w:val="auto"/>
        <w:outlineLvl w:val="9"/>
        <w:rPr>
          <w:rFonts w:hint="eastAsia" w:ascii="宋体" w:hAnsi="宋体" w:eastAsia="宋体" w:cs="宋体"/>
          <w:b/>
          <w:sz w:val="44"/>
          <w:szCs w:val="28"/>
          <w:lang w:eastAsia="zh-CN"/>
        </w:rPr>
      </w:pPr>
      <w:r>
        <w:rPr>
          <w:rFonts w:hint="eastAsia" w:ascii="宋体" w:hAnsi="宋体" w:eastAsia="宋体" w:cs="宋体"/>
          <w:b/>
          <w:sz w:val="44"/>
          <w:szCs w:val="28"/>
          <w:lang w:eastAsia="zh-CN"/>
        </w:rPr>
        <w:t>内乡县柏树山石灰岩矿废弃矿山</w:t>
      </w:r>
    </w:p>
    <w:p>
      <w:pPr>
        <w:keepNext w:val="0"/>
        <w:keepLines w:val="0"/>
        <w:pageBreakBefore w:val="0"/>
        <w:widowControl w:val="0"/>
        <w:kinsoku/>
        <w:wordWrap/>
        <w:overflowPunct/>
        <w:topLinePunct w:val="0"/>
        <w:autoSpaceDE w:val="0"/>
        <w:autoSpaceDN w:val="0"/>
        <w:bidi w:val="0"/>
        <w:adjustRightInd/>
        <w:snapToGrid/>
        <w:spacing w:before="0" w:line="621" w:lineRule="exact"/>
        <w:ind w:left="0" w:right="19" w:firstLine="0"/>
        <w:jc w:val="center"/>
        <w:textAlignment w:val="auto"/>
        <w:outlineLvl w:val="9"/>
        <w:rPr>
          <w:rFonts w:hint="eastAsia" w:ascii="宋体" w:hAnsi="宋体" w:eastAsia="宋体" w:cs="宋体"/>
          <w:b/>
          <w:sz w:val="44"/>
          <w:szCs w:val="28"/>
          <w:lang w:eastAsia="zh-CN"/>
        </w:rPr>
      </w:pPr>
      <w:r>
        <w:rPr>
          <w:rFonts w:hint="eastAsia" w:ascii="宋体" w:hAnsi="宋体" w:eastAsia="宋体" w:cs="宋体"/>
          <w:b/>
          <w:sz w:val="44"/>
          <w:szCs w:val="28"/>
          <w:lang w:eastAsia="zh-CN"/>
        </w:rPr>
        <w:t>生态环境修复工程项目</w:t>
      </w:r>
    </w:p>
    <w:p>
      <w:pPr>
        <w:pStyle w:val="11"/>
        <w:keepNext w:val="0"/>
        <w:keepLines w:val="0"/>
        <w:pageBreakBefore w:val="0"/>
        <w:widowControl w:val="0"/>
        <w:kinsoku/>
        <w:wordWrap/>
        <w:overflowPunct/>
        <w:topLinePunct w:val="0"/>
        <w:autoSpaceDE w:val="0"/>
        <w:autoSpaceDN w:val="0"/>
        <w:bidi w:val="0"/>
        <w:adjustRightInd/>
        <w:snapToGrid/>
        <w:spacing w:before="2"/>
        <w:textAlignment w:val="auto"/>
        <w:outlineLvl w:val="9"/>
        <w:rPr>
          <w:rFonts w:hint="eastAsia" w:ascii="宋体" w:hAnsi="宋体" w:eastAsia="宋体" w:cs="宋体"/>
          <w:b/>
          <w:sz w:val="38"/>
        </w:rPr>
      </w:pPr>
    </w:p>
    <w:p>
      <w:pPr>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outlineLvl w:val="9"/>
        <w:rPr>
          <w:rFonts w:hint="eastAsia" w:ascii="宋体" w:hAnsi="宋体" w:eastAsia="宋体" w:cs="宋体"/>
          <w:b/>
          <w:sz w:val="100"/>
        </w:rPr>
      </w:pPr>
    </w:p>
    <w:p>
      <w:pPr>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outlineLvl w:val="9"/>
        <w:rPr>
          <w:rFonts w:hint="eastAsia" w:ascii="宋体" w:hAnsi="宋体" w:eastAsia="宋体" w:cs="宋体"/>
          <w:b/>
          <w:sz w:val="51"/>
        </w:rPr>
      </w:pPr>
      <w:r>
        <w:rPr>
          <w:rFonts w:hint="eastAsia" w:cs="宋体"/>
          <w:b/>
          <w:sz w:val="100"/>
          <w:lang w:eastAsia="zh-CN"/>
        </w:rPr>
        <w:t>施工</w:t>
      </w:r>
      <w:r>
        <w:rPr>
          <w:rFonts w:hint="eastAsia" w:ascii="宋体" w:hAnsi="宋体" w:eastAsia="宋体" w:cs="宋体"/>
          <w:b/>
          <w:sz w:val="100"/>
        </w:rPr>
        <w:t>招标文件</w:t>
      </w:r>
    </w:p>
    <w:p>
      <w:pPr>
        <w:pStyle w:val="11"/>
        <w:keepNext w:val="0"/>
        <w:keepLines w:val="0"/>
        <w:pageBreakBefore w:val="0"/>
        <w:widowControl w:val="0"/>
        <w:kinsoku/>
        <w:wordWrap/>
        <w:overflowPunct/>
        <w:topLinePunct w:val="0"/>
        <w:autoSpaceDE w:val="0"/>
        <w:autoSpaceDN w:val="0"/>
        <w:bidi w:val="0"/>
        <w:adjustRightInd/>
        <w:snapToGrid/>
        <w:jc w:val="center"/>
        <w:textAlignment w:val="auto"/>
        <w:outlineLvl w:val="9"/>
        <w:rPr>
          <w:rFonts w:hint="eastAsia" w:ascii="宋体" w:hAnsi="宋体" w:eastAsia="宋体" w:cs="宋体"/>
          <w:sz w:val="20"/>
        </w:rPr>
      </w:pPr>
      <w:r>
        <w:rPr>
          <w:rFonts w:hint="eastAsia" w:ascii="宋体" w:hAnsi="宋体" w:eastAsia="宋体" w:cs="宋体"/>
          <w:b/>
          <w:sz w:val="36"/>
          <w:szCs w:val="36"/>
        </w:rPr>
        <w:drawing>
          <wp:inline distT="0" distB="0" distL="114300" distR="114300">
            <wp:extent cx="2454910" cy="2559685"/>
            <wp:effectExtent l="0" t="0" r="2540" b="12065"/>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pic:cNvPicPr>
                      <a:picLocks noChangeAspect="1"/>
                    </pic:cNvPicPr>
                  </pic:nvPicPr>
                  <pic:blipFill>
                    <a:blip r:embed="rId10"/>
                    <a:stretch>
                      <a:fillRect/>
                    </a:stretch>
                  </pic:blipFill>
                  <pic:spPr>
                    <a:xfrm>
                      <a:off x="0" y="0"/>
                      <a:ext cx="2454910" cy="2559685"/>
                    </a:xfrm>
                    <a:prstGeom prst="rect">
                      <a:avLst/>
                    </a:prstGeom>
                    <a:noFill/>
                    <a:ln>
                      <a:noFill/>
                    </a:ln>
                  </pic:spPr>
                </pic:pic>
              </a:graphicData>
            </a:graphic>
          </wp:inline>
        </w:drawing>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32"/>
        </w:rPr>
      </w:pPr>
    </w:p>
    <w:p>
      <w:pPr>
        <w:pStyle w:val="11"/>
        <w:keepNext w:val="0"/>
        <w:keepLines w:val="0"/>
        <w:pageBreakBefore w:val="0"/>
        <w:widowControl w:val="0"/>
        <w:kinsoku/>
        <w:wordWrap/>
        <w:overflowPunct/>
        <w:topLinePunct w:val="0"/>
        <w:autoSpaceDE w:val="0"/>
        <w:autoSpaceDN w:val="0"/>
        <w:bidi w:val="0"/>
        <w:adjustRightInd/>
        <w:snapToGrid/>
        <w:spacing w:before="1"/>
        <w:textAlignment w:val="auto"/>
        <w:outlineLvl w:val="9"/>
        <w:rPr>
          <w:rFonts w:hint="eastAsia" w:ascii="宋体" w:hAnsi="宋体" w:eastAsia="宋体" w:cs="宋体"/>
          <w:b/>
          <w:sz w:val="45"/>
        </w:rPr>
      </w:pPr>
    </w:p>
    <w:p>
      <w:pPr>
        <w:keepNext w:val="0"/>
        <w:keepLines w:val="0"/>
        <w:pageBreakBefore w:val="0"/>
        <w:widowControl w:val="0"/>
        <w:kinsoku/>
        <w:wordWrap/>
        <w:overflowPunct/>
        <w:topLinePunct w:val="0"/>
        <w:autoSpaceDE w:val="0"/>
        <w:autoSpaceDN w:val="0"/>
        <w:bidi w:val="0"/>
        <w:adjustRightInd/>
        <w:snapToGrid/>
        <w:jc w:val="both"/>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val="0"/>
        <w:autoSpaceDN w:val="0"/>
        <w:bidi w:val="0"/>
        <w:adjustRightInd/>
        <w:snapToGrid/>
        <w:jc w:val="both"/>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val="0"/>
        <w:autoSpaceDN w:val="0"/>
        <w:bidi w:val="0"/>
        <w:adjustRightInd/>
        <w:snapToGrid/>
        <w:jc w:val="both"/>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val="0"/>
        <w:autoSpaceDN w:val="0"/>
        <w:bidi w:val="0"/>
        <w:adjustRightInd/>
        <w:snapToGrid/>
        <w:jc w:val="both"/>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val="0"/>
        <w:autoSpaceDN w:val="0"/>
        <w:bidi w:val="0"/>
        <w:adjustRightInd/>
        <w:snapToGrid/>
        <w:jc w:val="both"/>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402" w:firstLineChars="100"/>
        <w:jc w:val="both"/>
        <w:textAlignment w:val="auto"/>
        <w:outlineLvl w:val="9"/>
        <w:rPr>
          <w:rFonts w:hint="eastAsia" w:ascii="宋体" w:hAnsi="宋体" w:eastAsia="宋体" w:cs="宋体"/>
          <w:b/>
          <w:bCs/>
          <w:sz w:val="40"/>
          <w:szCs w:val="40"/>
          <w:lang w:eastAsia="zh-CN"/>
        </w:rPr>
      </w:pPr>
      <w:r>
        <w:rPr>
          <w:rFonts w:hint="eastAsia" w:ascii="宋体" w:hAnsi="宋体" w:eastAsia="宋体" w:cs="宋体"/>
          <w:b/>
          <w:bCs/>
          <w:sz w:val="40"/>
          <w:szCs w:val="40"/>
        </w:rPr>
        <w:t>招</w:t>
      </w:r>
      <w:r>
        <w:rPr>
          <w:rFonts w:hint="eastAsia" w:ascii="宋体" w:hAnsi="宋体" w:eastAsia="宋体" w:cs="宋体"/>
          <w:b/>
          <w:bCs/>
          <w:sz w:val="40"/>
          <w:szCs w:val="40"/>
        </w:rPr>
        <w:tab/>
      </w:r>
      <w:r>
        <w:rPr>
          <w:rFonts w:hint="eastAsia" w:ascii="宋体" w:hAnsi="宋体" w:eastAsia="宋体" w:cs="宋体"/>
          <w:b/>
          <w:bCs/>
          <w:sz w:val="40"/>
          <w:szCs w:val="40"/>
        </w:rPr>
        <w:t>标</w:t>
      </w:r>
      <w:r>
        <w:rPr>
          <w:rFonts w:hint="eastAsia" w:ascii="宋体" w:hAnsi="宋体" w:eastAsia="宋体" w:cs="宋体"/>
          <w:b/>
          <w:bCs/>
          <w:sz w:val="40"/>
          <w:szCs w:val="40"/>
        </w:rPr>
        <w:tab/>
      </w:r>
      <w:r>
        <w:rPr>
          <w:rFonts w:hint="eastAsia" w:ascii="宋体" w:hAnsi="宋体" w:eastAsia="宋体" w:cs="宋体"/>
          <w:b/>
          <w:bCs/>
          <w:sz w:val="40"/>
          <w:szCs w:val="40"/>
        </w:rPr>
        <w:t>人：</w:t>
      </w:r>
      <w:r>
        <w:rPr>
          <w:rFonts w:hint="eastAsia" w:ascii="宋体" w:hAnsi="宋体" w:eastAsia="宋体" w:cs="宋体"/>
          <w:b/>
          <w:bCs/>
          <w:sz w:val="40"/>
          <w:szCs w:val="40"/>
          <w:lang w:eastAsia="zh-CN"/>
        </w:rPr>
        <w:t>内乡县自然资源局</w:t>
      </w:r>
    </w:p>
    <w:p>
      <w:pPr>
        <w:keepNext w:val="0"/>
        <w:keepLines w:val="0"/>
        <w:pageBreakBefore w:val="0"/>
        <w:widowControl w:val="0"/>
        <w:kinsoku/>
        <w:wordWrap/>
        <w:overflowPunct/>
        <w:topLinePunct w:val="0"/>
        <w:autoSpaceDE w:val="0"/>
        <w:autoSpaceDN w:val="0"/>
        <w:bidi w:val="0"/>
        <w:adjustRightInd/>
        <w:snapToGrid/>
        <w:spacing w:line="360" w:lineRule="auto"/>
        <w:ind w:firstLine="402" w:firstLineChars="100"/>
        <w:jc w:val="both"/>
        <w:textAlignment w:val="auto"/>
        <w:outlineLvl w:val="9"/>
        <w:rPr>
          <w:rFonts w:hint="eastAsia" w:ascii="宋体" w:hAnsi="宋体" w:eastAsia="宋体" w:cs="宋体"/>
          <w:b/>
          <w:bCs/>
          <w:sz w:val="40"/>
          <w:szCs w:val="40"/>
          <w:lang w:eastAsia="zh-CN"/>
        </w:rPr>
      </w:pPr>
      <w:r>
        <w:rPr>
          <w:rFonts w:hint="eastAsia" w:ascii="宋体" w:hAnsi="宋体" w:eastAsia="宋体" w:cs="宋体"/>
          <w:b/>
          <w:bCs/>
          <w:sz w:val="40"/>
          <w:szCs w:val="40"/>
        </w:rPr>
        <w:t>招标代理人：</w:t>
      </w:r>
      <w:r>
        <w:rPr>
          <w:rFonts w:hint="eastAsia" w:ascii="宋体" w:hAnsi="宋体" w:eastAsia="宋体" w:cs="宋体"/>
          <w:b/>
          <w:bCs/>
          <w:sz w:val="40"/>
          <w:szCs w:val="40"/>
          <w:lang w:eastAsia="zh-CN"/>
        </w:rPr>
        <w:t>河南省天平招标代理有限公司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02" w:firstLineChars="100"/>
        <w:jc w:val="both"/>
        <w:textAlignment w:val="auto"/>
        <w:outlineLvl w:val="9"/>
        <w:rPr>
          <w:rFonts w:hint="eastAsia" w:ascii="宋体" w:hAnsi="宋体" w:eastAsia="宋体" w:cs="宋体"/>
          <w:b/>
          <w:bCs/>
          <w:sz w:val="40"/>
          <w:szCs w:val="40"/>
        </w:rPr>
      </w:pPr>
      <w:r>
        <w:rPr>
          <w:rFonts w:hint="eastAsia" w:ascii="宋体" w:hAnsi="宋体" w:eastAsia="宋体" w:cs="宋体"/>
          <w:b/>
          <w:bCs/>
          <w:sz w:val="40"/>
          <w:szCs w:val="40"/>
        </w:rPr>
        <w:t>日</w:t>
      </w:r>
      <w:r>
        <w:rPr>
          <w:rFonts w:hint="eastAsia" w:ascii="宋体" w:hAnsi="宋体" w:eastAsia="宋体" w:cs="宋体"/>
          <w:b/>
          <w:bCs/>
          <w:sz w:val="40"/>
          <w:szCs w:val="40"/>
        </w:rPr>
        <w:tab/>
      </w:r>
      <w:r>
        <w:rPr>
          <w:rFonts w:hint="eastAsia" w:ascii="宋体" w:hAnsi="宋体" w:eastAsia="宋体" w:cs="宋体"/>
          <w:b/>
          <w:bCs/>
          <w:sz w:val="40"/>
          <w:szCs w:val="40"/>
        </w:rPr>
        <w:t>期：二〇二一年</w:t>
      </w:r>
      <w:r>
        <w:rPr>
          <w:rFonts w:hint="eastAsia" w:ascii="宋体" w:hAnsi="宋体" w:eastAsia="宋体" w:cs="宋体"/>
          <w:b/>
          <w:bCs/>
          <w:sz w:val="40"/>
          <w:szCs w:val="40"/>
          <w:lang w:val="en-US" w:eastAsia="zh-CN"/>
        </w:rPr>
        <w:t>三</w:t>
      </w:r>
      <w:r>
        <w:rPr>
          <w:rFonts w:hint="eastAsia" w:ascii="宋体" w:hAnsi="宋体" w:eastAsia="宋体" w:cs="宋体"/>
          <w:b/>
          <w:bCs/>
          <w:sz w:val="40"/>
          <w:szCs w:val="40"/>
        </w:rPr>
        <w:t>月</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sectPr>
          <w:type w:val="continuous"/>
          <w:pgSz w:w="11910" w:h="16840"/>
          <w:pgMar w:top="1417" w:right="1701" w:bottom="1417" w:left="1701" w:header="720" w:footer="720" w:gutter="0"/>
          <w:pgNumType w:fmt="decimal"/>
          <w:cols w:space="425" w:num="1"/>
          <w:rtlGutter w:val="0"/>
          <w:docGrid w:linePitch="0" w:charSpace="0"/>
        </w:sectPr>
      </w:pPr>
    </w:p>
    <w:sdt>
      <w:sdtPr>
        <w:rPr>
          <w:rFonts w:hint="eastAsia" w:ascii="宋体" w:hAnsi="宋体" w:eastAsia="宋体" w:cs="宋体"/>
          <w:b/>
          <w:bCs/>
          <w:sz w:val="40"/>
          <w:szCs w:val="40"/>
          <w:lang w:val="zh-CN" w:eastAsia="zh-CN" w:bidi="zh-CN"/>
        </w:rPr>
        <w:id w:val="147461477"/>
        <w15:color w:val="DBDBDB"/>
        <w:docPartObj>
          <w:docPartGallery w:val="Table of Contents"/>
          <w:docPartUnique/>
        </w:docPartObj>
      </w:sdtPr>
      <w:sdtEndPr>
        <w:rPr>
          <w:rFonts w:hint="eastAsia" w:ascii="宋体" w:hAnsi="宋体" w:eastAsia="宋体" w:cs="宋体"/>
          <w:b/>
          <w:bCs/>
          <w:sz w:val="40"/>
          <w:szCs w:val="40"/>
          <w:lang w:val="zh-CN" w:eastAsia="zh-CN" w:bidi="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0"/>
              <w:szCs w:val="40"/>
            </w:rPr>
          </w:pPr>
          <w:bookmarkStart w:id="0" w:name="_bookmark1"/>
          <w:bookmarkEnd w:id="0"/>
          <w:bookmarkStart w:id="1" w:name="_bookmark0"/>
          <w:bookmarkEnd w:id="1"/>
          <w:bookmarkStart w:id="2" w:name="_Toc32638"/>
          <w:r>
            <w:rPr>
              <w:rFonts w:hint="eastAsia" w:ascii="宋体" w:hAnsi="宋体" w:eastAsia="宋体" w:cs="宋体"/>
              <w:b/>
              <w:bCs/>
              <w:sz w:val="40"/>
              <w:szCs w:val="40"/>
            </w:rPr>
            <w:t>目</w:t>
          </w: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rPr>
            <w:t>录</w:t>
          </w:r>
        </w:p>
        <w:p>
          <w:pPr>
            <w:pStyle w:val="34"/>
            <w:keepNext w:val="0"/>
            <w:keepLines w:val="0"/>
            <w:pageBreakBefore w:val="0"/>
            <w:widowControl/>
            <w:tabs>
              <w:tab w:val="right" w:leader="dot" w:pos="8508"/>
            </w:tabs>
            <w:kinsoku/>
            <w:wordWrap/>
            <w:overflowPunct/>
            <w:topLinePunct w:val="0"/>
            <w:autoSpaceDE/>
            <w:autoSpaceDN/>
            <w:bidi w:val="0"/>
            <w:adjustRightInd/>
            <w:snapToGrid/>
            <w:spacing w:line="480" w:lineRule="auto"/>
            <w:textAlignment w:val="auto"/>
            <w:rPr>
              <w:rFonts w:hint="eastAsia" w:ascii="宋体" w:hAnsi="宋体" w:eastAsia="宋体" w:cs="宋体"/>
            </w:rPr>
          </w:pPr>
        </w:p>
        <w:p>
          <w:pPr>
            <w:pStyle w:val="34"/>
            <w:keepNext w:val="0"/>
            <w:keepLines w:val="0"/>
            <w:pageBreakBefore w:val="0"/>
            <w:widowControl/>
            <w:tabs>
              <w:tab w:val="right" w:leader="dot" w:pos="8508"/>
            </w:tabs>
            <w:kinsoku/>
            <w:wordWrap/>
            <w:overflowPunct/>
            <w:topLinePunct w:val="0"/>
            <w:autoSpaceDE/>
            <w:autoSpaceDN/>
            <w:bidi w:val="0"/>
            <w:adjustRightInd/>
            <w:snapToGrid/>
            <w:spacing w:line="480" w:lineRule="auto"/>
            <w:textAlignment w:val="auto"/>
            <w:rPr>
              <w:rFonts w:hint="eastAsia" w:ascii="宋体" w:hAnsi="宋体" w:eastAsia="宋体" w:cs="宋体"/>
            </w:rPr>
          </w:pPr>
        </w:p>
        <w:p>
          <w:pPr>
            <w:pStyle w:val="14"/>
            <w:keepNext w:val="0"/>
            <w:keepLines w:val="0"/>
            <w:pageBreakBefore w:val="0"/>
            <w:widowControl w:val="0"/>
            <w:tabs>
              <w:tab w:val="right" w:leader="dot" w:pos="8508"/>
            </w:tabs>
            <w:kinsoku/>
            <w:wordWrap/>
            <w:overflowPunct/>
            <w:topLinePunct w:val="0"/>
            <w:autoSpaceDE w:val="0"/>
            <w:autoSpaceDN w:val="0"/>
            <w:bidi w:val="0"/>
            <w:adjustRightInd/>
            <w:snapToGrid/>
            <w:spacing w:line="480" w:lineRule="auto"/>
            <w:ind w:left="1043"/>
            <w:textAlignment w:val="auto"/>
            <w:rPr>
              <w:sz w:val="28"/>
              <w:szCs w:val="28"/>
            </w:rPr>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_Toc12516 </w:instrText>
          </w:r>
          <w:r>
            <w:rPr>
              <w:rFonts w:hint="eastAsia" w:ascii="宋体" w:hAnsi="宋体" w:eastAsia="宋体" w:cs="宋体"/>
              <w:sz w:val="28"/>
              <w:szCs w:val="28"/>
            </w:rPr>
            <w:fldChar w:fldCharType="separate"/>
          </w:r>
          <w:r>
            <w:rPr>
              <w:rFonts w:hint="eastAsia" w:ascii="宋体" w:hAnsi="宋体" w:eastAsia="宋体" w:cs="宋体"/>
              <w:bCs/>
              <w:sz w:val="28"/>
              <w:szCs w:val="36"/>
            </w:rPr>
            <w:t>第一章</w:t>
          </w:r>
          <w:r>
            <w:rPr>
              <w:rFonts w:hint="eastAsia" w:ascii="宋体" w:hAnsi="宋体" w:eastAsia="宋体" w:cs="宋体"/>
              <w:bCs/>
              <w:sz w:val="28"/>
              <w:szCs w:val="36"/>
              <w:lang w:val="en-US" w:eastAsia="zh-CN"/>
            </w:rPr>
            <w:t xml:space="preserve"> </w:t>
          </w:r>
          <w:r>
            <w:rPr>
              <w:rFonts w:hint="eastAsia" w:ascii="宋体" w:hAnsi="宋体" w:eastAsia="宋体" w:cs="宋体"/>
              <w:bCs/>
              <w:sz w:val="28"/>
              <w:szCs w:val="36"/>
            </w:rPr>
            <w:t>招标公告</w:t>
          </w:r>
          <w:r>
            <w:rPr>
              <w:sz w:val="28"/>
              <w:szCs w:val="28"/>
            </w:rPr>
            <w:tab/>
          </w:r>
          <w:r>
            <w:rPr>
              <w:sz w:val="28"/>
              <w:szCs w:val="28"/>
            </w:rPr>
            <w:fldChar w:fldCharType="begin"/>
          </w:r>
          <w:r>
            <w:rPr>
              <w:sz w:val="28"/>
              <w:szCs w:val="28"/>
            </w:rPr>
            <w:instrText xml:space="preserve"> PAGEREF _Toc12516 </w:instrText>
          </w:r>
          <w:r>
            <w:rPr>
              <w:sz w:val="28"/>
              <w:szCs w:val="28"/>
            </w:rPr>
            <w:fldChar w:fldCharType="separate"/>
          </w:r>
          <w:r>
            <w:rPr>
              <w:sz w:val="28"/>
              <w:szCs w:val="28"/>
            </w:rPr>
            <w:t>- 1 -</w:t>
          </w:r>
          <w:r>
            <w:rPr>
              <w:sz w:val="28"/>
              <w:szCs w:val="28"/>
            </w:rPr>
            <w:fldChar w:fldCharType="end"/>
          </w:r>
          <w:r>
            <w:rPr>
              <w:rFonts w:hint="eastAsia" w:ascii="宋体" w:hAnsi="宋体" w:eastAsia="宋体" w:cs="宋体"/>
              <w:sz w:val="28"/>
              <w:szCs w:val="28"/>
            </w:rPr>
            <w:fldChar w:fldCharType="end"/>
          </w:r>
        </w:p>
        <w:p>
          <w:pPr>
            <w:pStyle w:val="14"/>
            <w:keepNext w:val="0"/>
            <w:keepLines w:val="0"/>
            <w:pageBreakBefore w:val="0"/>
            <w:widowControl w:val="0"/>
            <w:tabs>
              <w:tab w:val="right" w:leader="dot" w:pos="8508"/>
            </w:tabs>
            <w:kinsoku/>
            <w:wordWrap/>
            <w:overflowPunct/>
            <w:topLinePunct w:val="0"/>
            <w:autoSpaceDE w:val="0"/>
            <w:autoSpaceDN w:val="0"/>
            <w:bidi w:val="0"/>
            <w:adjustRightInd/>
            <w:snapToGrid/>
            <w:spacing w:line="480" w:lineRule="auto"/>
            <w:ind w:left="1043"/>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_Toc30206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第二章投标人须知</w:t>
          </w:r>
          <w:r>
            <w:rPr>
              <w:rFonts w:hint="eastAsia" w:ascii="宋体" w:hAnsi="宋体" w:eastAsia="宋体" w:cs="宋体"/>
              <w:sz w:val="28"/>
              <w:szCs w:val="28"/>
            </w:rPr>
            <w:tab/>
          </w:r>
          <w:r>
            <w:rPr>
              <w:sz w:val="28"/>
              <w:szCs w:val="28"/>
            </w:rPr>
            <w:fldChar w:fldCharType="begin"/>
          </w:r>
          <w:r>
            <w:rPr>
              <w:sz w:val="28"/>
              <w:szCs w:val="28"/>
            </w:rPr>
            <w:instrText xml:space="preserve"> PAGEREF _Toc12516 </w:instrText>
          </w:r>
          <w:r>
            <w:rPr>
              <w:sz w:val="28"/>
              <w:szCs w:val="28"/>
            </w:rPr>
            <w:fldChar w:fldCharType="separate"/>
          </w:r>
          <w:r>
            <w:rPr>
              <w:sz w:val="28"/>
              <w:szCs w:val="28"/>
            </w:rPr>
            <w:t xml:space="preserve">- </w:t>
          </w:r>
          <w:r>
            <w:rPr>
              <w:rFonts w:hint="eastAsia"/>
              <w:sz w:val="28"/>
              <w:szCs w:val="28"/>
              <w:lang w:val="en-US" w:eastAsia="zh-CN"/>
            </w:rPr>
            <w:t>5</w:t>
          </w:r>
          <w:r>
            <w:rPr>
              <w:sz w:val="28"/>
              <w:szCs w:val="28"/>
            </w:rPr>
            <w:t xml:space="preserve"> -</w:t>
          </w:r>
          <w:r>
            <w:rPr>
              <w:sz w:val="28"/>
              <w:szCs w:val="28"/>
            </w:rPr>
            <w:fldChar w:fldCharType="end"/>
          </w:r>
          <w:r>
            <w:rPr>
              <w:rFonts w:hint="eastAsia" w:ascii="宋体" w:hAnsi="宋体" w:eastAsia="宋体" w:cs="宋体"/>
              <w:sz w:val="28"/>
              <w:szCs w:val="28"/>
            </w:rPr>
            <w:fldChar w:fldCharType="end"/>
          </w:r>
        </w:p>
        <w:p>
          <w:pPr>
            <w:pStyle w:val="14"/>
            <w:keepNext w:val="0"/>
            <w:keepLines w:val="0"/>
            <w:pageBreakBefore w:val="0"/>
            <w:widowControl w:val="0"/>
            <w:tabs>
              <w:tab w:val="right" w:leader="dot" w:pos="8508"/>
            </w:tabs>
            <w:kinsoku/>
            <w:wordWrap/>
            <w:overflowPunct/>
            <w:topLinePunct w:val="0"/>
            <w:autoSpaceDE w:val="0"/>
            <w:autoSpaceDN w:val="0"/>
            <w:bidi w:val="0"/>
            <w:adjustRightInd/>
            <w:snapToGrid/>
            <w:spacing w:line="480" w:lineRule="auto"/>
            <w:ind w:left="1043"/>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_Toc18462 </w:instrText>
          </w:r>
          <w:r>
            <w:rPr>
              <w:rFonts w:hint="eastAsia" w:ascii="宋体" w:hAnsi="宋体" w:eastAsia="宋体" w:cs="宋体"/>
              <w:sz w:val="28"/>
              <w:szCs w:val="28"/>
            </w:rPr>
            <w:fldChar w:fldCharType="separate"/>
          </w:r>
          <w:r>
            <w:rPr>
              <w:rFonts w:hint="eastAsia"/>
              <w:bCs/>
              <w:sz w:val="28"/>
              <w:szCs w:val="40"/>
            </w:rPr>
            <w:t>第三章评标办法</w:t>
          </w:r>
          <w:r>
            <w:rPr>
              <w:sz w:val="28"/>
              <w:szCs w:val="28"/>
            </w:rPr>
            <w:tab/>
          </w:r>
          <w:r>
            <w:rPr>
              <w:sz w:val="28"/>
              <w:szCs w:val="28"/>
            </w:rPr>
            <w:fldChar w:fldCharType="begin"/>
          </w:r>
          <w:r>
            <w:rPr>
              <w:sz w:val="28"/>
              <w:szCs w:val="28"/>
            </w:rPr>
            <w:instrText xml:space="preserve"> PAGEREF _Toc18462 </w:instrText>
          </w:r>
          <w:r>
            <w:rPr>
              <w:sz w:val="28"/>
              <w:szCs w:val="28"/>
            </w:rPr>
            <w:fldChar w:fldCharType="separate"/>
          </w:r>
          <w:r>
            <w:rPr>
              <w:sz w:val="28"/>
              <w:szCs w:val="28"/>
            </w:rPr>
            <w:t>- 3</w:t>
          </w:r>
          <w:r>
            <w:rPr>
              <w:rFonts w:hint="eastAsia"/>
              <w:sz w:val="28"/>
              <w:szCs w:val="28"/>
              <w:lang w:val="en-US" w:eastAsia="zh-CN"/>
            </w:rPr>
            <w:t>0</w:t>
          </w:r>
          <w:r>
            <w:rPr>
              <w:sz w:val="28"/>
              <w:szCs w:val="28"/>
            </w:rPr>
            <w:t xml:space="preserve"> -</w:t>
          </w:r>
          <w:r>
            <w:rPr>
              <w:sz w:val="28"/>
              <w:szCs w:val="28"/>
            </w:rPr>
            <w:fldChar w:fldCharType="end"/>
          </w:r>
          <w:r>
            <w:rPr>
              <w:rFonts w:hint="eastAsia" w:ascii="宋体" w:hAnsi="宋体" w:eastAsia="宋体" w:cs="宋体"/>
              <w:sz w:val="28"/>
              <w:szCs w:val="28"/>
            </w:rPr>
            <w:fldChar w:fldCharType="end"/>
          </w:r>
        </w:p>
        <w:p>
          <w:pPr>
            <w:pStyle w:val="14"/>
            <w:keepNext w:val="0"/>
            <w:keepLines w:val="0"/>
            <w:pageBreakBefore w:val="0"/>
            <w:widowControl w:val="0"/>
            <w:tabs>
              <w:tab w:val="right" w:leader="dot" w:pos="8508"/>
            </w:tabs>
            <w:kinsoku/>
            <w:wordWrap/>
            <w:overflowPunct/>
            <w:topLinePunct w:val="0"/>
            <w:autoSpaceDE w:val="0"/>
            <w:autoSpaceDN w:val="0"/>
            <w:bidi w:val="0"/>
            <w:adjustRightInd/>
            <w:snapToGrid/>
            <w:spacing w:line="480" w:lineRule="auto"/>
            <w:ind w:left="1043"/>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_Toc872 </w:instrText>
          </w:r>
          <w:r>
            <w:rPr>
              <w:rFonts w:hint="eastAsia" w:ascii="宋体" w:hAnsi="宋体" w:eastAsia="宋体" w:cs="宋体"/>
              <w:sz w:val="28"/>
              <w:szCs w:val="28"/>
            </w:rPr>
            <w:fldChar w:fldCharType="separate"/>
          </w:r>
          <w:r>
            <w:rPr>
              <w:rFonts w:hint="eastAsia" w:ascii="宋体" w:hAnsi="宋体" w:eastAsia="宋体" w:cs="宋体"/>
              <w:kern w:val="0"/>
              <w:sz w:val="28"/>
              <w:szCs w:val="40"/>
              <w:lang w:val="en-US" w:eastAsia="zh-CN" w:bidi="ar"/>
            </w:rPr>
            <w:t>第四章合同条款及格式</w:t>
          </w:r>
          <w:r>
            <w:rPr>
              <w:sz w:val="28"/>
              <w:szCs w:val="28"/>
            </w:rPr>
            <w:tab/>
          </w:r>
          <w:r>
            <w:rPr>
              <w:sz w:val="28"/>
              <w:szCs w:val="28"/>
            </w:rPr>
            <w:fldChar w:fldCharType="begin"/>
          </w:r>
          <w:r>
            <w:rPr>
              <w:sz w:val="28"/>
              <w:szCs w:val="28"/>
            </w:rPr>
            <w:instrText xml:space="preserve"> PAGEREF _Toc872 </w:instrText>
          </w:r>
          <w:r>
            <w:rPr>
              <w:sz w:val="28"/>
              <w:szCs w:val="28"/>
            </w:rPr>
            <w:fldChar w:fldCharType="separate"/>
          </w:r>
          <w:r>
            <w:rPr>
              <w:sz w:val="28"/>
              <w:szCs w:val="28"/>
            </w:rPr>
            <w:t xml:space="preserve">- </w:t>
          </w:r>
          <w:r>
            <w:rPr>
              <w:rFonts w:hint="eastAsia"/>
              <w:sz w:val="28"/>
              <w:szCs w:val="28"/>
              <w:lang w:val="en-US" w:eastAsia="zh-CN"/>
            </w:rPr>
            <w:t>39</w:t>
          </w:r>
          <w:r>
            <w:rPr>
              <w:sz w:val="28"/>
              <w:szCs w:val="28"/>
            </w:rPr>
            <w:t xml:space="preserve"> -</w:t>
          </w:r>
          <w:r>
            <w:rPr>
              <w:sz w:val="28"/>
              <w:szCs w:val="28"/>
            </w:rPr>
            <w:fldChar w:fldCharType="end"/>
          </w:r>
          <w:r>
            <w:rPr>
              <w:rFonts w:hint="eastAsia" w:ascii="宋体" w:hAnsi="宋体" w:eastAsia="宋体" w:cs="宋体"/>
              <w:sz w:val="28"/>
              <w:szCs w:val="28"/>
            </w:rPr>
            <w:fldChar w:fldCharType="end"/>
          </w:r>
        </w:p>
        <w:p>
          <w:pPr>
            <w:pStyle w:val="14"/>
            <w:keepNext w:val="0"/>
            <w:keepLines w:val="0"/>
            <w:pageBreakBefore w:val="0"/>
            <w:widowControl w:val="0"/>
            <w:tabs>
              <w:tab w:val="right" w:leader="dot" w:pos="8508"/>
            </w:tabs>
            <w:kinsoku/>
            <w:wordWrap/>
            <w:overflowPunct/>
            <w:topLinePunct w:val="0"/>
            <w:autoSpaceDE w:val="0"/>
            <w:autoSpaceDN w:val="0"/>
            <w:bidi w:val="0"/>
            <w:adjustRightInd/>
            <w:snapToGrid/>
            <w:spacing w:line="480" w:lineRule="auto"/>
            <w:ind w:left="1043"/>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_Toc15036 </w:instrText>
          </w:r>
          <w:r>
            <w:rPr>
              <w:rFonts w:hint="eastAsia" w:ascii="宋体" w:hAnsi="宋体" w:eastAsia="宋体" w:cs="宋体"/>
              <w:sz w:val="28"/>
              <w:szCs w:val="28"/>
            </w:rPr>
            <w:fldChar w:fldCharType="separate"/>
          </w:r>
          <w:r>
            <w:rPr>
              <w:rFonts w:hint="eastAsia"/>
              <w:bCs/>
              <w:sz w:val="28"/>
              <w:szCs w:val="44"/>
            </w:rPr>
            <w:t>第五章</w:t>
          </w:r>
          <w:r>
            <w:rPr>
              <w:rFonts w:hint="eastAsia"/>
              <w:bCs/>
              <w:sz w:val="28"/>
              <w:szCs w:val="44"/>
              <w:lang w:val="en-US" w:eastAsia="zh-CN"/>
            </w:rPr>
            <w:t xml:space="preserve"> </w:t>
          </w:r>
          <w:r>
            <w:rPr>
              <w:rFonts w:hint="eastAsia"/>
              <w:bCs/>
              <w:sz w:val="28"/>
              <w:szCs w:val="44"/>
            </w:rPr>
            <w:t>工程量清单</w:t>
          </w:r>
          <w:r>
            <w:rPr>
              <w:sz w:val="28"/>
              <w:szCs w:val="28"/>
            </w:rPr>
            <w:tab/>
          </w:r>
          <w:r>
            <w:rPr>
              <w:sz w:val="28"/>
              <w:szCs w:val="28"/>
            </w:rPr>
            <w:fldChar w:fldCharType="begin"/>
          </w:r>
          <w:r>
            <w:rPr>
              <w:sz w:val="28"/>
              <w:szCs w:val="28"/>
            </w:rPr>
            <w:instrText xml:space="preserve"> PAGEREF _Toc15036 </w:instrText>
          </w:r>
          <w:r>
            <w:rPr>
              <w:sz w:val="28"/>
              <w:szCs w:val="28"/>
            </w:rPr>
            <w:fldChar w:fldCharType="separate"/>
          </w:r>
          <w:r>
            <w:rPr>
              <w:sz w:val="28"/>
              <w:szCs w:val="28"/>
            </w:rPr>
            <w:t>- 6</w:t>
          </w:r>
          <w:r>
            <w:rPr>
              <w:rFonts w:hint="eastAsia"/>
              <w:sz w:val="28"/>
              <w:szCs w:val="28"/>
              <w:lang w:val="en-US" w:eastAsia="zh-CN"/>
            </w:rPr>
            <w:t>5</w:t>
          </w:r>
          <w:r>
            <w:rPr>
              <w:sz w:val="28"/>
              <w:szCs w:val="28"/>
            </w:rPr>
            <w:t xml:space="preserve"> -</w:t>
          </w:r>
          <w:r>
            <w:rPr>
              <w:sz w:val="28"/>
              <w:szCs w:val="28"/>
            </w:rPr>
            <w:fldChar w:fldCharType="end"/>
          </w:r>
          <w:r>
            <w:rPr>
              <w:rFonts w:hint="eastAsia" w:ascii="宋体" w:hAnsi="宋体" w:eastAsia="宋体" w:cs="宋体"/>
              <w:sz w:val="28"/>
              <w:szCs w:val="28"/>
            </w:rPr>
            <w:fldChar w:fldCharType="end"/>
          </w:r>
        </w:p>
        <w:p>
          <w:pPr>
            <w:pStyle w:val="14"/>
            <w:keepNext w:val="0"/>
            <w:keepLines w:val="0"/>
            <w:pageBreakBefore w:val="0"/>
            <w:widowControl w:val="0"/>
            <w:tabs>
              <w:tab w:val="right" w:leader="dot" w:pos="8508"/>
            </w:tabs>
            <w:kinsoku/>
            <w:wordWrap/>
            <w:overflowPunct/>
            <w:topLinePunct w:val="0"/>
            <w:autoSpaceDE w:val="0"/>
            <w:autoSpaceDN w:val="0"/>
            <w:bidi w:val="0"/>
            <w:adjustRightInd/>
            <w:snapToGrid/>
            <w:spacing w:line="480" w:lineRule="auto"/>
            <w:ind w:left="1043"/>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_Toc7831 </w:instrText>
          </w:r>
          <w:r>
            <w:rPr>
              <w:rFonts w:hint="eastAsia" w:ascii="宋体" w:hAnsi="宋体" w:eastAsia="宋体" w:cs="宋体"/>
              <w:sz w:val="28"/>
              <w:szCs w:val="28"/>
            </w:rPr>
            <w:fldChar w:fldCharType="separate"/>
          </w:r>
          <w:r>
            <w:rPr>
              <w:rFonts w:hint="eastAsia"/>
              <w:bCs/>
              <w:sz w:val="28"/>
              <w:szCs w:val="44"/>
            </w:rPr>
            <w:t>第</w:t>
          </w:r>
          <w:r>
            <w:rPr>
              <w:rFonts w:hint="eastAsia"/>
              <w:bCs/>
              <w:sz w:val="28"/>
              <w:szCs w:val="44"/>
              <w:lang w:eastAsia="zh-CN"/>
            </w:rPr>
            <w:t>六</w:t>
          </w:r>
          <w:r>
            <w:rPr>
              <w:rFonts w:hint="eastAsia"/>
              <w:bCs/>
              <w:sz w:val="28"/>
              <w:szCs w:val="44"/>
            </w:rPr>
            <w:t>章</w:t>
          </w:r>
          <w:r>
            <w:rPr>
              <w:rFonts w:hint="eastAsia"/>
              <w:bCs/>
              <w:sz w:val="28"/>
              <w:szCs w:val="44"/>
              <w:lang w:val="en-US" w:eastAsia="zh-CN"/>
            </w:rPr>
            <w:t xml:space="preserve"> </w:t>
          </w:r>
          <w:r>
            <w:rPr>
              <w:rFonts w:hint="eastAsia"/>
              <w:bCs/>
              <w:sz w:val="28"/>
              <w:szCs w:val="44"/>
            </w:rPr>
            <w:t>技术标准和要求</w:t>
          </w:r>
          <w:r>
            <w:rPr>
              <w:sz w:val="28"/>
              <w:szCs w:val="28"/>
            </w:rPr>
            <w:tab/>
          </w:r>
          <w:r>
            <w:rPr>
              <w:sz w:val="28"/>
              <w:szCs w:val="28"/>
            </w:rPr>
            <w:fldChar w:fldCharType="begin"/>
          </w:r>
          <w:r>
            <w:rPr>
              <w:sz w:val="28"/>
              <w:szCs w:val="28"/>
            </w:rPr>
            <w:instrText xml:space="preserve"> PAGEREF _Toc7831 </w:instrText>
          </w:r>
          <w:r>
            <w:rPr>
              <w:sz w:val="28"/>
              <w:szCs w:val="28"/>
            </w:rPr>
            <w:fldChar w:fldCharType="separate"/>
          </w:r>
          <w:r>
            <w:rPr>
              <w:sz w:val="28"/>
              <w:szCs w:val="28"/>
            </w:rPr>
            <w:t>- 7</w:t>
          </w:r>
          <w:r>
            <w:rPr>
              <w:rFonts w:hint="eastAsia"/>
              <w:sz w:val="28"/>
              <w:szCs w:val="28"/>
              <w:lang w:val="en-US" w:eastAsia="zh-CN"/>
            </w:rPr>
            <w:t>4</w:t>
          </w:r>
          <w:r>
            <w:rPr>
              <w:sz w:val="28"/>
              <w:szCs w:val="28"/>
            </w:rPr>
            <w:t xml:space="preserve"> -</w:t>
          </w:r>
          <w:r>
            <w:rPr>
              <w:sz w:val="28"/>
              <w:szCs w:val="28"/>
            </w:rPr>
            <w:fldChar w:fldCharType="end"/>
          </w:r>
          <w:r>
            <w:rPr>
              <w:rFonts w:hint="eastAsia" w:ascii="宋体" w:hAnsi="宋体" w:eastAsia="宋体" w:cs="宋体"/>
              <w:sz w:val="28"/>
              <w:szCs w:val="28"/>
            </w:rPr>
            <w:fldChar w:fldCharType="end"/>
          </w:r>
        </w:p>
        <w:p>
          <w:pPr>
            <w:pStyle w:val="14"/>
            <w:keepNext w:val="0"/>
            <w:keepLines w:val="0"/>
            <w:pageBreakBefore w:val="0"/>
            <w:widowControl w:val="0"/>
            <w:tabs>
              <w:tab w:val="right" w:leader="dot" w:pos="8508"/>
            </w:tabs>
            <w:kinsoku/>
            <w:wordWrap/>
            <w:overflowPunct/>
            <w:topLinePunct w:val="0"/>
            <w:autoSpaceDE w:val="0"/>
            <w:autoSpaceDN w:val="0"/>
            <w:bidi w:val="0"/>
            <w:adjustRightInd/>
            <w:snapToGrid/>
            <w:spacing w:line="480" w:lineRule="auto"/>
            <w:ind w:left="1043"/>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_Toc17710 </w:instrText>
          </w:r>
          <w:r>
            <w:rPr>
              <w:rFonts w:hint="eastAsia" w:ascii="宋体" w:hAnsi="宋体" w:eastAsia="宋体" w:cs="宋体"/>
              <w:sz w:val="28"/>
              <w:szCs w:val="28"/>
            </w:rPr>
            <w:fldChar w:fldCharType="separate"/>
          </w:r>
          <w:r>
            <w:rPr>
              <w:rFonts w:hint="eastAsia"/>
              <w:bCs/>
              <w:sz w:val="28"/>
              <w:szCs w:val="44"/>
            </w:rPr>
            <w:t>第</w:t>
          </w:r>
          <w:r>
            <w:rPr>
              <w:rFonts w:hint="eastAsia"/>
              <w:bCs/>
              <w:sz w:val="28"/>
              <w:szCs w:val="44"/>
              <w:lang w:eastAsia="zh-CN"/>
            </w:rPr>
            <w:t>七</w:t>
          </w:r>
          <w:r>
            <w:rPr>
              <w:rFonts w:hint="eastAsia"/>
              <w:bCs/>
              <w:sz w:val="28"/>
              <w:szCs w:val="44"/>
            </w:rPr>
            <w:t>章</w:t>
          </w:r>
          <w:r>
            <w:rPr>
              <w:rFonts w:hint="eastAsia"/>
              <w:bCs/>
              <w:sz w:val="28"/>
              <w:szCs w:val="44"/>
              <w:lang w:val="en-US" w:eastAsia="zh-CN"/>
            </w:rPr>
            <w:t xml:space="preserve"> </w:t>
          </w:r>
          <w:r>
            <w:rPr>
              <w:rFonts w:hint="eastAsia"/>
              <w:bCs/>
              <w:sz w:val="28"/>
              <w:szCs w:val="44"/>
            </w:rPr>
            <w:t>投标文件格式</w:t>
          </w:r>
          <w:r>
            <w:rPr>
              <w:sz w:val="28"/>
              <w:szCs w:val="28"/>
            </w:rPr>
            <w:tab/>
          </w:r>
          <w:r>
            <w:rPr>
              <w:sz w:val="28"/>
              <w:szCs w:val="28"/>
            </w:rPr>
            <w:fldChar w:fldCharType="begin"/>
          </w:r>
          <w:r>
            <w:rPr>
              <w:sz w:val="28"/>
              <w:szCs w:val="28"/>
            </w:rPr>
            <w:instrText xml:space="preserve"> PAGEREF _Toc17710 </w:instrText>
          </w:r>
          <w:r>
            <w:rPr>
              <w:sz w:val="28"/>
              <w:szCs w:val="28"/>
            </w:rPr>
            <w:fldChar w:fldCharType="separate"/>
          </w:r>
          <w:r>
            <w:rPr>
              <w:sz w:val="28"/>
              <w:szCs w:val="28"/>
            </w:rPr>
            <w:t>- 7</w:t>
          </w:r>
          <w:r>
            <w:rPr>
              <w:rFonts w:hint="eastAsia"/>
              <w:sz w:val="28"/>
              <w:szCs w:val="28"/>
              <w:lang w:val="en-US" w:eastAsia="zh-CN"/>
            </w:rPr>
            <w:t>5</w:t>
          </w:r>
          <w:r>
            <w:rPr>
              <w:sz w:val="28"/>
              <w:szCs w:val="28"/>
            </w:rPr>
            <w:t xml:space="preserve"> -</w:t>
          </w:r>
          <w:r>
            <w:rPr>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rPr>
          </w:pPr>
          <w:r>
            <w:rPr>
              <w:rFonts w:hint="eastAsia" w:ascii="宋体" w:hAnsi="宋体" w:eastAsia="宋体" w:cs="宋体"/>
            </w:rPr>
            <w:fldChar w:fldCharType="end"/>
          </w:r>
        </w:p>
      </w:sdtContent>
    </w:sdt>
    <w:p>
      <w:pPr>
        <w:keepNext w:val="0"/>
        <w:keepLines w:val="0"/>
        <w:pageBreakBefore w:val="0"/>
        <w:widowControl w:val="0"/>
        <w:kinsoku/>
        <w:wordWrap w:val="0"/>
        <w:overflowPunct/>
        <w:topLinePunct/>
        <w:autoSpaceDE/>
        <w:autoSpaceDN/>
        <w:bidi w:val="0"/>
        <w:adjustRightInd/>
        <w:snapToGrid/>
        <w:spacing w:line="360" w:lineRule="auto"/>
        <w:jc w:val="center"/>
        <w:textAlignment w:val="auto"/>
        <w:outlineLvl w:val="0"/>
        <w:rPr>
          <w:rFonts w:hint="eastAsia" w:ascii="宋体" w:hAnsi="宋体" w:eastAsia="宋体" w:cs="宋体"/>
          <w:b/>
          <w:bCs/>
          <w:sz w:val="24"/>
          <w:szCs w:val="24"/>
        </w:rPr>
      </w:pPr>
    </w:p>
    <w:p>
      <w:pPr>
        <w:pStyle w:val="2"/>
        <w:rPr>
          <w:rFonts w:hint="eastAsia" w:ascii="宋体" w:hAnsi="宋体" w:eastAsia="宋体" w:cs="宋体"/>
          <w:b/>
          <w:bCs/>
          <w:sz w:val="24"/>
          <w:szCs w:val="24"/>
        </w:rPr>
      </w:pPr>
      <w:bookmarkStart w:id="1396" w:name="_GoBack"/>
      <w:bookmarkEnd w:id="1396"/>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keepNext w:val="0"/>
        <w:keepLines w:val="0"/>
        <w:pageBreakBefore w:val="0"/>
        <w:widowControl w:val="0"/>
        <w:kinsoku/>
        <w:wordWrap w:val="0"/>
        <w:overflowPunct/>
        <w:topLinePunct/>
        <w:autoSpaceDE/>
        <w:autoSpaceDN/>
        <w:bidi w:val="0"/>
        <w:adjustRightInd/>
        <w:snapToGrid/>
        <w:spacing w:line="360" w:lineRule="exact"/>
        <w:jc w:val="center"/>
        <w:textAlignment w:val="auto"/>
        <w:outlineLvl w:val="9"/>
        <w:rPr>
          <w:rFonts w:hint="eastAsia" w:ascii="宋体" w:hAnsi="宋体" w:eastAsia="宋体" w:cs="宋体"/>
          <w:b/>
          <w:bCs/>
          <w:sz w:val="28"/>
          <w:szCs w:val="28"/>
          <w:lang w:eastAsia="zh-CN"/>
        </w:rPr>
      </w:pPr>
    </w:p>
    <w:p>
      <w:pPr>
        <w:keepNext w:val="0"/>
        <w:keepLines w:val="0"/>
        <w:pageBreakBefore w:val="0"/>
        <w:widowControl w:val="0"/>
        <w:kinsoku/>
        <w:wordWrap w:val="0"/>
        <w:overflowPunct/>
        <w:topLinePunct/>
        <w:autoSpaceDE/>
        <w:autoSpaceDN/>
        <w:bidi w:val="0"/>
        <w:adjustRightInd/>
        <w:snapToGrid/>
        <w:spacing w:line="360" w:lineRule="exact"/>
        <w:jc w:val="center"/>
        <w:textAlignment w:val="auto"/>
        <w:outlineLvl w:val="9"/>
        <w:rPr>
          <w:rFonts w:hint="eastAsia" w:ascii="宋体" w:hAnsi="宋体" w:eastAsia="宋体" w:cs="宋体"/>
          <w:b/>
          <w:bCs/>
          <w:sz w:val="28"/>
          <w:szCs w:val="28"/>
          <w:lang w:eastAsia="zh-CN"/>
        </w:rPr>
        <w:sectPr>
          <w:footerReference r:id="rId5" w:type="default"/>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val="0"/>
        <w:overflowPunct/>
        <w:topLinePunct/>
        <w:autoSpaceDE/>
        <w:autoSpaceDN/>
        <w:bidi w:val="0"/>
        <w:adjustRightInd/>
        <w:snapToGrid/>
        <w:spacing w:line="360" w:lineRule="exact"/>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eastAsia="zh-CN"/>
        </w:rPr>
        <w:t>内乡县柏树山石灰岩矿废弃矿山生态环境修复工程项目</w:t>
      </w:r>
      <w:r>
        <w:rPr>
          <w:rFonts w:hint="eastAsia" w:ascii="宋体" w:hAnsi="宋体" w:eastAsia="宋体" w:cs="宋体"/>
          <w:b/>
          <w:bCs/>
          <w:sz w:val="28"/>
          <w:szCs w:val="28"/>
        </w:rPr>
        <w:t>招标公告</w:t>
      </w:r>
    </w:p>
    <w:p>
      <w:pPr>
        <w:pStyle w:val="2"/>
        <w:keepNext w:val="0"/>
        <w:keepLines w:val="0"/>
        <w:pageBreakBefore w:val="0"/>
        <w:widowControl w:val="0"/>
        <w:kinsoku/>
        <w:overflowPunct/>
        <w:bidi w:val="0"/>
        <w:adjustRightInd/>
        <w:snapToGrid/>
        <w:spacing w:line="360" w:lineRule="exact"/>
        <w:textAlignment w:val="auto"/>
        <w:rPr>
          <w:rFonts w:hint="eastAsia"/>
        </w:rPr>
      </w:pP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1、招标条件</w:t>
      </w:r>
    </w:p>
    <w:p>
      <w:pPr>
        <w:keepNext w:val="0"/>
        <w:keepLines w:val="0"/>
        <w:pageBreakBefore w:val="0"/>
        <w:widowControl w:val="0"/>
        <w:kinsoku/>
        <w:wordWrap w:val="0"/>
        <w:overflowPunct/>
        <w:topLinePunct/>
        <w:autoSpaceDE/>
        <w:autoSpaceDN/>
        <w:bidi w:val="0"/>
        <w:adjustRightInd/>
        <w:snapToGrid/>
        <w:spacing w:line="36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本招标项目</w:t>
      </w:r>
      <w:r>
        <w:rPr>
          <w:rFonts w:hint="eastAsia" w:ascii="宋体" w:hAnsi="宋体" w:eastAsia="宋体" w:cs="宋体"/>
          <w:sz w:val="24"/>
          <w:szCs w:val="24"/>
          <w:lang w:eastAsia="zh-CN"/>
        </w:rPr>
        <w:t>内乡县柏树山石灰岩矿废弃矿山生态环境修复工程项目</w:t>
      </w:r>
      <w:r>
        <w:rPr>
          <w:rFonts w:hint="eastAsia" w:ascii="宋体" w:hAnsi="宋体" w:eastAsia="宋体" w:cs="宋体"/>
          <w:sz w:val="24"/>
          <w:szCs w:val="24"/>
        </w:rPr>
        <w:t>已由相关部门批准建设，招标人为</w:t>
      </w:r>
      <w:r>
        <w:rPr>
          <w:rFonts w:hint="eastAsia" w:ascii="宋体" w:hAnsi="宋体" w:eastAsia="宋体" w:cs="宋体"/>
          <w:sz w:val="24"/>
          <w:szCs w:val="24"/>
          <w:lang w:eastAsia="zh-CN"/>
        </w:rPr>
        <w:t>内乡县自然资源局</w:t>
      </w:r>
      <w:r>
        <w:rPr>
          <w:rFonts w:hint="eastAsia" w:ascii="宋体" w:hAnsi="宋体" w:eastAsia="宋体" w:cs="宋体"/>
          <w:sz w:val="24"/>
          <w:szCs w:val="24"/>
        </w:rPr>
        <w:t>，建设资金来源为</w:t>
      </w:r>
      <w:r>
        <w:rPr>
          <w:rFonts w:hint="eastAsia" w:ascii="宋体" w:hAnsi="宋体" w:eastAsia="宋体" w:cs="宋体"/>
          <w:sz w:val="24"/>
          <w:szCs w:val="24"/>
          <w:lang w:eastAsia="zh-CN"/>
        </w:rPr>
        <w:t>财政资金</w:t>
      </w:r>
      <w:r>
        <w:rPr>
          <w:rFonts w:hint="eastAsia" w:ascii="宋体" w:hAnsi="宋体" w:eastAsia="宋体" w:cs="宋体"/>
          <w:sz w:val="24"/>
          <w:szCs w:val="24"/>
        </w:rPr>
        <w:t>。项目已具备招标条件，</w:t>
      </w:r>
      <w:r>
        <w:rPr>
          <w:rFonts w:hint="eastAsia" w:ascii="宋体" w:hAnsi="宋体" w:eastAsia="宋体" w:cs="宋体"/>
          <w:sz w:val="24"/>
          <w:szCs w:val="24"/>
          <w:lang w:eastAsia="zh-CN"/>
        </w:rPr>
        <w:t>河南省天平招标代理有限公司</w:t>
      </w:r>
      <w:r>
        <w:rPr>
          <w:rFonts w:hint="eastAsia" w:ascii="宋体" w:hAnsi="宋体" w:eastAsia="宋体" w:cs="宋体"/>
          <w:sz w:val="24"/>
          <w:szCs w:val="24"/>
        </w:rPr>
        <w:t>受</w:t>
      </w:r>
      <w:r>
        <w:rPr>
          <w:rFonts w:hint="eastAsia" w:ascii="宋体" w:hAnsi="宋体" w:eastAsia="宋体" w:cs="宋体"/>
          <w:sz w:val="24"/>
          <w:szCs w:val="24"/>
          <w:lang w:eastAsia="zh-CN"/>
        </w:rPr>
        <w:t>内乡县自然资源局</w:t>
      </w:r>
      <w:r>
        <w:rPr>
          <w:rFonts w:hint="eastAsia" w:ascii="宋体" w:hAnsi="宋体" w:eastAsia="宋体" w:cs="宋体"/>
          <w:sz w:val="24"/>
          <w:szCs w:val="24"/>
        </w:rPr>
        <w:t>委托，现对该项目施工进行国内公开招标，本次招标采用全流程电子辅助招投标。</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b/>
          <w:bCs/>
          <w:sz w:val="24"/>
          <w:szCs w:val="24"/>
          <w:lang w:val="en-US" w:eastAsia="zh-CN"/>
        </w:rPr>
        <w:t>项目概况及编号</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 工程名称：内乡县柏树山石灰岩矿废弃矿山生态环境修复工程项目</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 项目编号：</w:t>
      </w:r>
      <w:r>
        <w:rPr>
          <w:rFonts w:hint="default" w:ascii="宋体" w:hAnsi="宋体" w:eastAsia="宋体" w:cs="宋体"/>
          <w:sz w:val="24"/>
          <w:szCs w:val="24"/>
          <w:lang w:val="en-US" w:eastAsia="zh-CN"/>
        </w:rPr>
        <w:t>E4113000085001554001</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2.3项目概况：主要建设内容：对治理区内的高陡边坡整理、采坑平整和回填、设立挡土墙，对平整过的台阶和平台进行垫渣和覆土后栽植乔灌木，达到恢复生态环境的目的。</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2.4招标范围：工程量清单所包含的全部内容；</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2.5标段划分：本项目共划分为二个标段</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一标段：施工</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二标段：监理</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2.6工 期</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施工：210日历天</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监理：本项目施工阶段和保修阶段的监理服务</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cs="宋体"/>
          <w:sz w:val="24"/>
          <w:szCs w:val="24"/>
          <w:lang w:val="en-US" w:eastAsia="zh-CN"/>
        </w:rPr>
        <w:t>7</w:t>
      </w:r>
      <w:r>
        <w:rPr>
          <w:rFonts w:hint="eastAsia" w:ascii="宋体" w:hAnsi="宋体" w:eastAsia="宋体" w:cs="宋体"/>
          <w:sz w:val="24"/>
          <w:szCs w:val="24"/>
        </w:rPr>
        <w:t>质量要求：合格。</w:t>
      </w:r>
    </w:p>
    <w:p>
      <w:pPr>
        <w:keepNext w:val="0"/>
        <w:keepLines w:val="0"/>
        <w:pageBreakBefore w:val="0"/>
        <w:widowControl w:val="0"/>
        <w:kinsoku/>
        <w:wordWrap w:val="0"/>
        <w:overflowPunct/>
        <w:topLinePunct/>
        <w:autoSpaceDE/>
        <w:autoSpaceDN/>
        <w:bidi w:val="0"/>
        <w:adjustRightInd/>
        <w:snapToGrid/>
        <w:spacing w:before="74" w:line="360" w:lineRule="exac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3、投标人资格要求</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3.1施工标段：</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cs="宋体"/>
          <w:sz w:val="24"/>
          <w:szCs w:val="24"/>
          <w:lang w:val="en-US" w:eastAsia="zh-CN"/>
        </w:rPr>
        <w:t>.1</w:t>
      </w:r>
      <w:r>
        <w:rPr>
          <w:rFonts w:hint="eastAsia" w:ascii="宋体" w:hAnsi="宋体" w:eastAsia="宋体" w:cs="宋体"/>
          <w:sz w:val="24"/>
          <w:szCs w:val="24"/>
          <w:lang w:val="en-US" w:eastAsia="zh-CN"/>
        </w:rPr>
        <w:t xml:space="preserve"> </w:t>
      </w:r>
      <w:r>
        <w:rPr>
          <w:rFonts w:hint="eastAsia" w:cs="宋体"/>
          <w:sz w:val="24"/>
          <w:szCs w:val="24"/>
          <w:lang w:val="en-US" w:eastAsia="zh-CN"/>
        </w:rPr>
        <w:t>须</w:t>
      </w:r>
      <w:r>
        <w:rPr>
          <w:rFonts w:hint="eastAsia" w:ascii="宋体" w:hAnsi="宋体" w:eastAsia="宋体" w:cs="宋体"/>
          <w:sz w:val="24"/>
          <w:szCs w:val="24"/>
          <w:lang w:val="en-US" w:eastAsia="zh-CN"/>
        </w:rPr>
        <w:t>具有独立法人资格和有效的统一社会信用代码的营业执照；</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cs="宋体"/>
          <w:sz w:val="24"/>
          <w:szCs w:val="24"/>
          <w:lang w:val="en-US" w:eastAsia="zh-CN"/>
        </w:rPr>
        <w:t>1.</w:t>
      </w:r>
      <w:r>
        <w:rPr>
          <w:rFonts w:hint="eastAsia" w:ascii="宋体" w:hAnsi="宋体" w:eastAsia="宋体" w:cs="宋体"/>
          <w:sz w:val="24"/>
          <w:szCs w:val="24"/>
          <w:lang w:val="en-US" w:eastAsia="zh-CN"/>
        </w:rPr>
        <w:t xml:space="preserve">2投标人须具备自然资源主管部门或原国土资源主管部门颁发的地质灾害治理工程施工甲资质，并具有有效的安全生产许可证； </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3.</w:t>
      </w:r>
      <w:r>
        <w:rPr>
          <w:rFonts w:hint="eastAsia" w:cs="宋体"/>
          <w:sz w:val="24"/>
          <w:szCs w:val="24"/>
          <w:lang w:val="en-US" w:eastAsia="zh-CN"/>
        </w:rPr>
        <w:t>1.</w:t>
      </w:r>
      <w:r>
        <w:rPr>
          <w:rFonts w:hint="eastAsia" w:ascii="宋体" w:hAnsi="宋体" w:eastAsia="宋体" w:cs="宋体"/>
          <w:sz w:val="24"/>
          <w:szCs w:val="24"/>
          <w:lang w:val="en-US" w:eastAsia="zh-CN"/>
        </w:rPr>
        <w:t>3拟派项目经理须具备水文地质或工程地质或环境地质专业</w:t>
      </w:r>
      <w:r>
        <w:rPr>
          <w:rFonts w:hint="eastAsia" w:cs="宋体"/>
          <w:sz w:val="24"/>
          <w:szCs w:val="24"/>
          <w:highlight w:val="none"/>
          <w:lang w:val="en-US" w:eastAsia="zh-CN"/>
        </w:rPr>
        <w:t>高</w:t>
      </w:r>
      <w:r>
        <w:rPr>
          <w:rFonts w:hint="eastAsia" w:ascii="宋体" w:hAnsi="宋体" w:eastAsia="宋体" w:cs="宋体"/>
          <w:sz w:val="24"/>
          <w:szCs w:val="24"/>
          <w:highlight w:val="none"/>
          <w:lang w:val="en-US" w:eastAsia="zh-CN"/>
        </w:rPr>
        <w:t>级技</w:t>
      </w:r>
      <w:r>
        <w:rPr>
          <w:rFonts w:hint="eastAsia" w:ascii="宋体" w:hAnsi="宋体" w:eastAsia="宋体" w:cs="宋体"/>
          <w:sz w:val="24"/>
          <w:szCs w:val="24"/>
          <w:lang w:val="en-US" w:eastAsia="zh-CN"/>
        </w:rPr>
        <w:t>术职称，且未担任其它在建工程项目（单位出具项目经理社保证明和无在建工程承诺）</w:t>
      </w:r>
      <w:r>
        <w:rPr>
          <w:rFonts w:hint="eastAsia" w:cs="宋体"/>
          <w:sz w:val="24"/>
          <w:szCs w:val="24"/>
          <w:lang w:val="en-US" w:eastAsia="zh-CN"/>
        </w:rPr>
        <w:t>项目经理</w:t>
      </w:r>
      <w:r>
        <w:rPr>
          <w:rFonts w:hint="eastAsia" w:ascii="宋体" w:hAnsi="宋体" w:eastAsia="宋体" w:cs="宋体"/>
          <w:b w:val="0"/>
          <w:bCs w:val="0"/>
          <w:sz w:val="24"/>
          <w:szCs w:val="24"/>
        </w:rPr>
        <w:t>及被授权委托人须提供2020年</w:t>
      </w:r>
      <w:r>
        <w:rPr>
          <w:rFonts w:hint="eastAsia" w:cs="宋体"/>
          <w:b w:val="0"/>
          <w:bCs w:val="0"/>
          <w:sz w:val="24"/>
          <w:szCs w:val="24"/>
          <w:lang w:val="en-US" w:eastAsia="zh-CN"/>
        </w:rPr>
        <w:t>1</w:t>
      </w:r>
      <w:r>
        <w:rPr>
          <w:rFonts w:hint="eastAsia" w:ascii="宋体" w:hAnsi="宋体" w:eastAsia="宋体" w:cs="宋体"/>
          <w:b w:val="0"/>
          <w:bCs w:val="0"/>
          <w:sz w:val="24"/>
          <w:szCs w:val="24"/>
        </w:rPr>
        <w:t>月以来按时缴纳的社保证明（提供社保缴纳网络查询结果截图及查询途径，个人社保缴纳单位名称须与投标单位名称一致）；</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cs="宋体"/>
          <w:sz w:val="24"/>
          <w:szCs w:val="24"/>
          <w:lang w:val="en-US" w:eastAsia="zh-CN"/>
        </w:rPr>
        <w:t>1.</w:t>
      </w:r>
      <w:r>
        <w:rPr>
          <w:rFonts w:hint="eastAsia" w:ascii="宋体" w:hAnsi="宋体" w:eastAsia="宋体" w:cs="宋体"/>
          <w:sz w:val="24"/>
          <w:szCs w:val="24"/>
          <w:lang w:val="en-US" w:eastAsia="zh-CN"/>
        </w:rPr>
        <w:t>4投标人须有良好的财务状况，提供 2017、2018、2019 年经审计的财务报告，如若投标企业注册不足三年的以注册时间为准提供（或提供基本开户银行出具的资信证明）；</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cs="宋体"/>
          <w:sz w:val="24"/>
          <w:szCs w:val="24"/>
          <w:lang w:val="en-US" w:eastAsia="zh-CN"/>
        </w:rPr>
        <w:t>1.</w:t>
      </w:r>
      <w:r>
        <w:rPr>
          <w:rFonts w:hint="eastAsia" w:ascii="宋体" w:hAnsi="宋体" w:eastAsia="宋体" w:cs="宋体"/>
          <w:sz w:val="24"/>
          <w:szCs w:val="24"/>
          <w:lang w:val="en-US" w:eastAsia="zh-CN"/>
        </w:rPr>
        <w:t>5凡列入失信被执行人、重大税收违法案件当事人名单、政府采购严重违法失信行为记录名单的潜在投标人禁止投标，投标人须提供网页截图。（信用记录查询渠道:“信用中国”网站或中国政府采购网)（查询日期不得早于招标公告发布日期）。</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cs="宋体"/>
          <w:sz w:val="24"/>
          <w:szCs w:val="24"/>
          <w:lang w:val="en-US" w:eastAsia="zh-CN"/>
        </w:rPr>
        <w:t>1.</w:t>
      </w:r>
      <w:r>
        <w:rPr>
          <w:rFonts w:hint="eastAsia" w:ascii="宋体" w:hAnsi="宋体" w:eastAsia="宋体" w:cs="宋体"/>
          <w:sz w:val="24"/>
          <w:szCs w:val="24"/>
          <w:lang w:val="en-US" w:eastAsia="zh-CN"/>
        </w:rPr>
        <w:t>6投标人须提供无行贿犯罪记录承诺函（承诺对象包括：投标企业、法定代表人、项目经理、委托代理人），并对其真实性负责，若承诺不实，造成的后果由投标人自行负责。</w:t>
      </w:r>
    </w:p>
    <w:p>
      <w:pPr>
        <w:keepNext w:val="0"/>
        <w:keepLines w:val="0"/>
        <w:pageBreakBefore w:val="0"/>
        <w:widowControl w:val="0"/>
        <w:numPr>
          <w:ilvl w:val="0"/>
          <w:numId w:val="0"/>
        </w:numPr>
        <w:tabs>
          <w:tab w:val="left" w:pos="1941"/>
        </w:tabs>
        <w:kinsoku/>
        <w:wordWrap/>
        <w:overflowPunct/>
        <w:topLinePunct w:val="0"/>
        <w:autoSpaceDE w:val="0"/>
        <w:autoSpaceDN w:val="0"/>
        <w:bidi w:val="0"/>
        <w:adjustRightInd/>
        <w:snapToGrid/>
        <w:spacing w:before="98" w:after="0" w:line="360" w:lineRule="exact"/>
        <w:ind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3.</w:t>
      </w:r>
      <w:r>
        <w:rPr>
          <w:rFonts w:hint="eastAsia" w:cs="宋体"/>
          <w:sz w:val="24"/>
          <w:szCs w:val="24"/>
          <w:lang w:val="en-US" w:eastAsia="zh-CN"/>
        </w:rPr>
        <w:t>1.</w:t>
      </w:r>
      <w:r>
        <w:rPr>
          <w:rFonts w:hint="eastAsia" w:ascii="宋体" w:hAnsi="宋体" w:eastAsia="宋体" w:cs="宋体"/>
          <w:sz w:val="24"/>
          <w:szCs w:val="24"/>
          <w:lang w:val="en-US" w:eastAsia="zh-CN"/>
        </w:rPr>
        <w:t>7项目招标不接受联合</w:t>
      </w:r>
      <w:r>
        <w:rPr>
          <w:rFonts w:hint="eastAsia" w:ascii="宋体" w:hAnsi="宋体" w:eastAsia="宋体" w:cs="宋体"/>
          <w:sz w:val="24"/>
          <w:szCs w:val="24"/>
          <w:highlight w:val="none"/>
          <w:lang w:val="en-US" w:eastAsia="zh-CN"/>
        </w:rPr>
        <w:t>体投标</w:t>
      </w:r>
      <w:r>
        <w:rPr>
          <w:rFonts w:hint="eastAsia" w:cs="宋体"/>
          <w:sz w:val="24"/>
          <w:szCs w:val="24"/>
          <w:highlight w:val="none"/>
          <w:lang w:val="en-US" w:eastAsia="zh-CN"/>
        </w:rPr>
        <w:t>，本项目执行促进中小型企业发展政策（监狱企业、残疾人福利性企业视同小微企业），优先采购节能环保产品，政府强制采购节能产品等</w:t>
      </w:r>
      <w:r>
        <w:rPr>
          <w:rFonts w:hint="eastAsia" w:ascii="宋体" w:hAnsi="宋体" w:eastAsia="宋体" w:cs="宋体"/>
          <w:sz w:val="24"/>
          <w:szCs w:val="24"/>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3.2监理标段：</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3.2.1</w:t>
      </w:r>
      <w:r>
        <w:rPr>
          <w:rFonts w:hint="eastAsia" w:ascii="宋体" w:hAnsi="宋体" w:eastAsia="宋体" w:cs="宋体"/>
          <w:b w:val="0"/>
          <w:bCs w:val="0"/>
          <w:sz w:val="24"/>
          <w:szCs w:val="24"/>
          <w:lang w:val="en-US" w:eastAsia="zh-CN"/>
        </w:rPr>
        <w:t>须</w:t>
      </w:r>
      <w:r>
        <w:rPr>
          <w:rFonts w:hint="eastAsia" w:ascii="宋体" w:hAnsi="宋体" w:eastAsia="宋体" w:cs="宋体"/>
          <w:b w:val="0"/>
          <w:bCs w:val="0"/>
          <w:sz w:val="24"/>
          <w:szCs w:val="24"/>
        </w:rPr>
        <w:t>具有独立法人资格和有效的统一社会信用代码的营业执照；</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3.2.2投标人须具有有效的国土资源部门颁发的地质灾害治理工程监理甲级资</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质；</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3.2.3拟派项目总监理工程师须具有水文地质或工程地质或环境地质或岩土工程等相关专业高级（含）以上技术职称，同时具有中国地质灾害防治工程行业协会颁发的地质灾害治理工程监理培训证，须提供培训证书和职称证书，且目前未在其他建设工程项目中任职(提供拟派项目总监理工程师无在建书面证明承诺书，须加盖投标人企业电子章和法定代表人电子章，格式自拟)</w:t>
      </w:r>
      <w:r>
        <w:rPr>
          <w:rFonts w:hint="eastAsia" w:ascii="宋体" w:hAnsi="宋体" w:eastAsia="宋体" w:cs="宋体"/>
          <w:b w:val="0"/>
          <w:bCs w:val="0"/>
          <w:sz w:val="24"/>
          <w:szCs w:val="24"/>
          <w:lang w:eastAsia="zh-CN"/>
        </w:rPr>
        <w:t>；</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3.2.4投标人须提供近三年（2017</w:t>
      </w:r>
      <w:r>
        <w:rPr>
          <w:rFonts w:hint="eastAsia" w:cs="宋体"/>
          <w:b w:val="0"/>
          <w:bCs w:val="0"/>
          <w:sz w:val="24"/>
          <w:szCs w:val="24"/>
          <w:lang w:eastAsia="zh-CN"/>
        </w:rPr>
        <w:t>年度</w:t>
      </w:r>
      <w:r>
        <w:rPr>
          <w:rFonts w:hint="eastAsia" w:ascii="宋体" w:hAnsi="宋体" w:eastAsia="宋体" w:cs="宋体"/>
          <w:b w:val="0"/>
          <w:bCs w:val="0"/>
          <w:sz w:val="24"/>
          <w:szCs w:val="24"/>
        </w:rPr>
        <w:t>2018</w:t>
      </w:r>
      <w:r>
        <w:rPr>
          <w:rFonts w:hint="eastAsia" w:cs="宋体"/>
          <w:b w:val="0"/>
          <w:bCs w:val="0"/>
          <w:sz w:val="24"/>
          <w:szCs w:val="24"/>
          <w:lang w:eastAsia="zh-CN"/>
        </w:rPr>
        <w:t>年度</w:t>
      </w:r>
      <w:r>
        <w:rPr>
          <w:rFonts w:hint="eastAsia" w:ascii="宋体" w:hAnsi="宋体" w:eastAsia="宋体" w:cs="宋体"/>
          <w:b w:val="0"/>
          <w:bCs w:val="0"/>
          <w:sz w:val="24"/>
          <w:szCs w:val="24"/>
        </w:rPr>
        <w:t>2019年度）经审计的财务报告，</w:t>
      </w:r>
      <w:r>
        <w:rPr>
          <w:rFonts w:hint="eastAsia" w:ascii="宋体" w:hAnsi="宋体" w:eastAsia="宋体" w:cs="宋体"/>
          <w:b w:val="0"/>
          <w:bCs w:val="0"/>
          <w:sz w:val="24"/>
          <w:szCs w:val="24"/>
          <w:lang w:val="en-US" w:eastAsia="zh-CN"/>
        </w:rPr>
        <w:t>如若投标企业注册不足三年的以注册时间为准提供（或提供基本开户银行出具的资信证明）；</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3.2.5</w:t>
      </w:r>
      <w:r>
        <w:rPr>
          <w:rFonts w:hint="eastAsia" w:ascii="宋体" w:hAnsi="宋体" w:eastAsia="宋体" w:cs="宋体"/>
          <w:sz w:val="24"/>
          <w:szCs w:val="24"/>
          <w:lang w:val="en-US" w:eastAsia="zh-CN"/>
        </w:rPr>
        <w:t>凡列入失信被执行人、重大税收违法案件当事人名单、政府采购严重违法失信行为记录名单的潜在投标人禁止投标，投标人须提供网页截图。（信用记录查询渠道:“信用中国”网站或中国政府采购网)（查询日期不得早于招标公告发布日期）</w:t>
      </w:r>
      <w:r>
        <w:rPr>
          <w:rFonts w:hint="eastAsia" w:ascii="宋体" w:hAnsi="宋体" w:eastAsia="宋体" w:cs="宋体"/>
          <w:b w:val="0"/>
          <w:bCs w:val="0"/>
          <w:sz w:val="24"/>
          <w:szCs w:val="24"/>
        </w:rPr>
        <w:t>；</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3.2.6</w:t>
      </w:r>
      <w:r>
        <w:rPr>
          <w:rFonts w:hint="eastAsia" w:ascii="宋体" w:hAnsi="宋体" w:eastAsia="宋体" w:cs="宋体"/>
          <w:sz w:val="24"/>
          <w:szCs w:val="24"/>
          <w:lang w:val="en-US" w:eastAsia="zh-CN"/>
        </w:rPr>
        <w:t>投标人须提供无行贿犯罪记录承诺函（承诺对象包括：投标企业、法定代表人、项目</w:t>
      </w:r>
      <w:r>
        <w:rPr>
          <w:rFonts w:hint="eastAsia" w:cs="宋体"/>
          <w:sz w:val="24"/>
          <w:szCs w:val="24"/>
          <w:lang w:val="en-US" w:eastAsia="zh-CN"/>
        </w:rPr>
        <w:t>总监</w:t>
      </w:r>
      <w:r>
        <w:rPr>
          <w:rFonts w:hint="eastAsia" w:ascii="宋体" w:hAnsi="宋体" w:eastAsia="宋体" w:cs="宋体"/>
          <w:sz w:val="24"/>
          <w:szCs w:val="24"/>
          <w:lang w:val="en-US" w:eastAsia="zh-CN"/>
        </w:rPr>
        <w:t>、委托代理人），并对其真实性负责，若承诺不实，造成的后果由投标人自行负责</w:t>
      </w:r>
      <w:r>
        <w:rPr>
          <w:rFonts w:hint="eastAsia" w:ascii="宋体" w:hAnsi="宋体" w:eastAsia="宋体" w:cs="宋体"/>
          <w:b w:val="0"/>
          <w:bCs w:val="0"/>
          <w:sz w:val="24"/>
          <w:szCs w:val="24"/>
        </w:rPr>
        <w:t>；</w:t>
      </w:r>
    </w:p>
    <w:p>
      <w:pPr>
        <w:keepNext w:val="0"/>
        <w:keepLines w:val="0"/>
        <w:pageBreakBefore w:val="0"/>
        <w:widowControl w:val="0"/>
        <w:numPr>
          <w:ilvl w:val="0"/>
          <w:numId w:val="0"/>
        </w:numPr>
        <w:tabs>
          <w:tab w:val="left" w:pos="1941"/>
        </w:tabs>
        <w:kinsoku/>
        <w:wordWrap/>
        <w:overflowPunct/>
        <w:topLinePunct w:val="0"/>
        <w:autoSpaceDE w:val="0"/>
        <w:autoSpaceDN w:val="0"/>
        <w:bidi w:val="0"/>
        <w:adjustRightInd/>
        <w:snapToGrid/>
        <w:spacing w:before="98" w:after="0" w:line="360" w:lineRule="exact"/>
        <w:ind w:right="0" w:rightChars="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b w:val="0"/>
          <w:bCs w:val="0"/>
          <w:sz w:val="24"/>
          <w:szCs w:val="24"/>
        </w:rPr>
        <w:t>3.2.7</w:t>
      </w:r>
      <w:r>
        <w:rPr>
          <w:rFonts w:hint="eastAsia" w:ascii="宋体" w:hAnsi="宋体" w:eastAsia="宋体" w:cs="宋体"/>
          <w:sz w:val="24"/>
          <w:szCs w:val="24"/>
          <w:lang w:val="en-US" w:eastAsia="zh-CN"/>
        </w:rPr>
        <w:t>项目招标不接受联合体投标</w:t>
      </w:r>
      <w:r>
        <w:rPr>
          <w:rFonts w:hint="eastAsia" w:ascii="宋体" w:hAnsi="宋体" w:eastAsia="宋体" w:cs="宋体"/>
          <w:b w:val="0"/>
          <w:bCs w:val="0"/>
          <w:sz w:val="24"/>
          <w:szCs w:val="24"/>
        </w:rPr>
        <w:t>；</w:t>
      </w:r>
      <w:r>
        <w:rPr>
          <w:rFonts w:hint="eastAsia" w:cs="宋体"/>
          <w:sz w:val="24"/>
          <w:szCs w:val="24"/>
          <w:highlight w:val="none"/>
          <w:lang w:val="en-US" w:eastAsia="zh-CN"/>
        </w:rPr>
        <w:t>本项目执行促进中小型企业发展政策（监狱企业、残疾人福利性企业视同小微企业），优先采购节能环保产品，政府强制采购节能产品等</w:t>
      </w:r>
      <w:r>
        <w:rPr>
          <w:rFonts w:hint="eastAsia" w:ascii="宋体" w:hAnsi="宋体" w:eastAsia="宋体" w:cs="宋体"/>
          <w:sz w:val="24"/>
          <w:szCs w:val="24"/>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4、招标文件的获取</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4.1 获取时间：2021 年</w:t>
      </w:r>
      <w:r>
        <w:rPr>
          <w:rFonts w:hint="eastAsia" w:cs="宋体"/>
          <w:sz w:val="24"/>
          <w:szCs w:val="24"/>
          <w:lang w:val="en-US" w:eastAsia="zh-CN"/>
        </w:rPr>
        <w:t>3</w:t>
      </w:r>
      <w:r>
        <w:rPr>
          <w:rFonts w:hint="eastAsia" w:ascii="宋体" w:hAnsi="宋体" w:eastAsia="宋体" w:cs="宋体"/>
          <w:sz w:val="24"/>
          <w:szCs w:val="24"/>
        </w:rPr>
        <w:t>月</w:t>
      </w:r>
      <w:r>
        <w:rPr>
          <w:rFonts w:hint="eastAsia" w:cs="宋体"/>
          <w:sz w:val="24"/>
          <w:szCs w:val="24"/>
          <w:lang w:val="en-US" w:eastAsia="zh-CN"/>
        </w:rPr>
        <w:t>31</w:t>
      </w:r>
      <w:r>
        <w:rPr>
          <w:rFonts w:hint="eastAsia" w:ascii="宋体" w:hAnsi="宋体" w:eastAsia="宋体" w:cs="宋体"/>
          <w:sz w:val="24"/>
          <w:szCs w:val="24"/>
        </w:rPr>
        <w:t xml:space="preserve">日 08 时 00 分至 2021 年 </w:t>
      </w:r>
      <w:r>
        <w:rPr>
          <w:rFonts w:hint="eastAsia" w:cs="宋体"/>
          <w:sz w:val="24"/>
          <w:szCs w:val="24"/>
          <w:lang w:val="en-US" w:eastAsia="zh-CN"/>
        </w:rPr>
        <w:t>4</w:t>
      </w:r>
      <w:r>
        <w:rPr>
          <w:rFonts w:hint="eastAsia" w:ascii="宋体" w:hAnsi="宋体" w:eastAsia="宋体" w:cs="宋体"/>
          <w:sz w:val="24"/>
          <w:szCs w:val="24"/>
        </w:rPr>
        <w:t>月</w:t>
      </w:r>
      <w:r>
        <w:rPr>
          <w:rFonts w:hint="eastAsia" w:cs="宋体"/>
          <w:sz w:val="24"/>
          <w:szCs w:val="24"/>
          <w:lang w:val="en-US" w:eastAsia="zh-CN"/>
        </w:rPr>
        <w:t>7</w:t>
      </w:r>
      <w:r>
        <w:rPr>
          <w:rFonts w:hint="eastAsia" w:ascii="宋体" w:hAnsi="宋体" w:eastAsia="宋体" w:cs="宋体"/>
          <w:sz w:val="24"/>
          <w:szCs w:val="24"/>
        </w:rPr>
        <w:t>日 18 时 00 分（北京时间，法定节假日除外）。</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4.2</w:t>
      </w:r>
      <w:r>
        <w:rPr>
          <w:rFonts w:hint="eastAsia" w:ascii="宋体" w:hAnsi="宋体" w:eastAsia="宋体" w:cs="宋体"/>
          <w:sz w:val="24"/>
          <w:szCs w:val="24"/>
        </w:rPr>
        <w:t>地点：内乡县公共资源电子交易平台下载。</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4.3</w:t>
      </w:r>
      <w:r>
        <w:rPr>
          <w:rFonts w:hint="eastAsia" w:ascii="宋体" w:hAnsi="宋体" w:eastAsia="宋体" w:cs="宋体"/>
          <w:sz w:val="24"/>
          <w:szCs w:val="24"/>
        </w:rPr>
        <w:t>获取方式：</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4.3.1</w:t>
      </w:r>
      <w:r>
        <w:rPr>
          <w:rFonts w:hint="eastAsia" w:ascii="宋体" w:hAnsi="宋体" w:eastAsia="宋体" w:cs="宋体"/>
          <w:sz w:val="24"/>
          <w:szCs w:val="24"/>
        </w:rPr>
        <w:t>企业诚信库注册及 CA 办理</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本项目只接受内乡县公共资源电子交易平台中已加入企业诚信库的企业业务，由于内乡县交易中心启用新版电子交易系统，已在旧版系统中注册的各交易主体应重新在新版交易系统中注册完善相关信息后绑定原 CA 证书，新注册的各交易主体直接在新版交易系统中注册完善相关信息并绑定 CA 证书（详见内乡县公共资</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源交易中心网站《内乡县公共资源交易系统（3.0 版）启用通知》，请各潜在投标人按内乡县公共资源交易中心网站规定及时办理，未按内乡县公共资源交易中心规定办理相关手续导致无法参与投标的，投标人责任自负）。新版电子交易系统技术支持/信安 CA 客服：0371-96596。</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4.3.2</w:t>
      </w:r>
      <w:r>
        <w:rPr>
          <w:rFonts w:hint="eastAsia" w:ascii="宋体" w:hAnsi="宋体" w:eastAsia="宋体" w:cs="宋体"/>
          <w:sz w:val="24"/>
          <w:szCs w:val="24"/>
        </w:rPr>
        <w:t>招标文件获取方法：潜在投标人需通过内乡县公共资源交易网新版系 统首页点击新版电子交易系统，登录交易系统进行招标文件下载。（详见内乡县公共资源交易网办事指南《3.0 投标人操作手册》、《上传资质包操作说明》）。</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4.3.3</w:t>
      </w:r>
      <w:r>
        <w:rPr>
          <w:rFonts w:hint="eastAsia" w:ascii="宋体" w:hAnsi="宋体" w:eastAsia="宋体" w:cs="宋体"/>
          <w:sz w:val="24"/>
          <w:szCs w:val="24"/>
        </w:rPr>
        <w:t>请各投标人在获取招标文件后及时关注网站更新信息，若因其他原因未能及时看到网上更新信息而造成的损失，招标人及代理机构将不负任何责任。</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4.4.4</w:t>
      </w:r>
      <w:r>
        <w:rPr>
          <w:rFonts w:hint="eastAsia" w:ascii="宋体" w:hAnsi="宋体" w:eastAsia="宋体" w:cs="宋体"/>
          <w:sz w:val="24"/>
          <w:szCs w:val="24"/>
        </w:rPr>
        <w:t>招标文件售价：0 元/份。</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注：（1）招标文件获取有时间要求，错过时间后将无法完成操作，一切后果由投标人自负。</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潜在投标人务必在获取招标文件时间内完成招标文件下载并确保文件下载完整（电子版招标文件及相关附件一并下载），获取时间截止后将无法下载任何招标文件内容，若由此原因影响投标文件制作、投标文件递交、投标文件解密等情况，造成的损失由潜在投标人自行承担。</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该项目需要使用网上远程不见面开标系统开标。各投标人根据操作手册要求，提前做好相关准备工作，所有准备工作需自行到位，开标过程中如遇到紧急事项，可在不见面开标大厅中进行提出答疑，严重问题可拨打现场技术支持电话 17518959397。各投标人需在投标截止前登录网上不见面系统进行等候签到。</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网上不见面开标过程中，如投标人准备不到位，造成无法及时解密、网络问题等情况造成开标无法继续的，视为该投标人自动放弃投标（签到截止时间 30 分钟内），不再执行投标文件解密。</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本项目实行资格后审，营业执照、资质、业绩、人员、财务、证书等内容，须在市场主体信息库中已登记的信息中选取。审查内容以投标截止时间 24 小时前（节假日顺延）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5、投标文件的递交</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5.1 电子投标文件上传递交截止时间：2021 年</w:t>
      </w:r>
      <w:r>
        <w:rPr>
          <w:rFonts w:hint="eastAsia" w:cs="宋体"/>
          <w:sz w:val="24"/>
          <w:szCs w:val="24"/>
          <w:lang w:val="en-US" w:eastAsia="zh-CN"/>
        </w:rPr>
        <w:t>4</w:t>
      </w:r>
      <w:r>
        <w:rPr>
          <w:rFonts w:hint="eastAsia" w:ascii="宋体" w:hAnsi="宋体" w:eastAsia="宋体" w:cs="宋体"/>
          <w:sz w:val="24"/>
          <w:szCs w:val="24"/>
        </w:rPr>
        <w:t>月</w:t>
      </w:r>
      <w:r>
        <w:rPr>
          <w:rFonts w:hint="eastAsia" w:cs="宋体"/>
          <w:sz w:val="24"/>
          <w:szCs w:val="24"/>
          <w:lang w:val="en-US" w:eastAsia="zh-CN"/>
        </w:rPr>
        <w:t>23</w:t>
      </w:r>
      <w:r>
        <w:rPr>
          <w:rFonts w:hint="eastAsia" w:ascii="宋体" w:hAnsi="宋体" w:eastAsia="宋体" w:cs="宋体"/>
          <w:sz w:val="24"/>
          <w:szCs w:val="24"/>
        </w:rPr>
        <w:t>日 09 时 00 分（北京时间）；</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地点：《全国公共资源交易平台（河南省﹒内乡县）》电子交易平台；</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5.2 开标时间：2021 年</w:t>
      </w:r>
      <w:r>
        <w:rPr>
          <w:rFonts w:hint="eastAsia" w:cs="宋体"/>
          <w:sz w:val="24"/>
          <w:szCs w:val="24"/>
          <w:lang w:val="en-US" w:eastAsia="zh-CN"/>
        </w:rPr>
        <w:t>4</w:t>
      </w:r>
      <w:r>
        <w:rPr>
          <w:rFonts w:hint="eastAsia" w:ascii="宋体" w:hAnsi="宋体" w:eastAsia="宋体" w:cs="宋体"/>
          <w:sz w:val="24"/>
          <w:szCs w:val="24"/>
        </w:rPr>
        <w:t>月</w:t>
      </w:r>
      <w:r>
        <w:rPr>
          <w:rFonts w:hint="eastAsia" w:cs="宋体"/>
          <w:sz w:val="24"/>
          <w:szCs w:val="24"/>
          <w:lang w:val="en-US" w:eastAsia="zh-CN"/>
        </w:rPr>
        <w:t>23</w:t>
      </w:r>
      <w:r>
        <w:rPr>
          <w:rFonts w:hint="eastAsia" w:ascii="宋体" w:hAnsi="宋体" w:eastAsia="宋体" w:cs="宋体"/>
          <w:sz w:val="24"/>
          <w:szCs w:val="24"/>
        </w:rPr>
        <w:t xml:space="preserve">日 09 时 00 分（北京时间）； </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开标地点：内乡县公共资源交易中心三楼开标席。</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5.3 投标人自行上传投标文件，无需寄送和递交非加密投标文件光盘等。电子投</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标文件应在招标文件规定的投标截止时间前到达交易系统，逾期到达交易系统的电子投标文件视为放弃本次投标。</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6、发布公告的媒介</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本招标公告同时在《中国招标投标公共服务平台》、《河南省电子招标投标公共服务平台》、《河南省政府采购网》、《内乡县公共资源交易中心网》上发布。</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7、联系方式</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监督部门：</w:t>
      </w:r>
      <w:r>
        <w:rPr>
          <w:rFonts w:hint="eastAsia" w:ascii="宋体" w:hAnsi="宋体" w:eastAsia="宋体" w:cs="宋体"/>
          <w:color w:val="auto"/>
          <w:sz w:val="24"/>
          <w:szCs w:val="24"/>
          <w:lang w:eastAsia="zh-CN"/>
        </w:rPr>
        <w:t>内乡县自然资源局</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统一社会信用代码：11411325MB1816618W</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cs="宋体"/>
          <w:color w:val="auto"/>
          <w:sz w:val="24"/>
          <w:szCs w:val="24"/>
          <w:lang w:eastAsia="zh-CN"/>
        </w:rPr>
        <w:t>杨先生</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联系电话：0377-</w:t>
      </w:r>
      <w:r>
        <w:rPr>
          <w:rFonts w:hint="eastAsia" w:cs="宋体"/>
          <w:color w:val="auto"/>
          <w:sz w:val="24"/>
          <w:szCs w:val="24"/>
          <w:lang w:val="en-US" w:eastAsia="zh-CN"/>
        </w:rPr>
        <w:t>65362907</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lang w:eastAsia="zh-CN"/>
        </w:rPr>
      </w:pPr>
      <w:r>
        <w:rPr>
          <w:rFonts w:hint="eastAsia" w:ascii="宋体" w:hAnsi="宋体" w:eastAsia="宋体" w:cs="宋体"/>
        </w:rPr>
        <w:t>招标人：</w:t>
      </w:r>
      <w:r>
        <w:rPr>
          <w:rFonts w:hint="eastAsia" w:ascii="宋体" w:hAnsi="宋体" w:eastAsia="宋体" w:cs="宋体"/>
          <w:lang w:eastAsia="zh-CN"/>
        </w:rPr>
        <w:t>内乡县自然资源局</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color w:val="auto"/>
          <w:lang w:eastAsia="zh-CN"/>
        </w:rPr>
      </w:pPr>
      <w:r>
        <w:rPr>
          <w:rFonts w:hint="eastAsia" w:ascii="宋体" w:hAnsi="宋体" w:eastAsia="宋体" w:cs="宋体"/>
          <w:color w:val="auto"/>
        </w:rPr>
        <w:t>统一社会信用代码：11411325MB1816618W</w:t>
      </w:r>
      <w:r>
        <w:rPr>
          <w:rFonts w:hint="eastAsia" w:ascii="宋体" w:hAnsi="宋体" w:eastAsia="宋体" w:cs="宋体"/>
          <w:color w:val="auto"/>
          <w:lang w:val="en-US" w:eastAsia="zh-CN"/>
        </w:rPr>
        <w:t xml:space="preserve"> </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rPr>
      </w:pPr>
      <w:r>
        <w:rPr>
          <w:rFonts w:hint="eastAsia" w:ascii="宋体" w:hAnsi="宋体" w:eastAsia="宋体" w:cs="宋体"/>
        </w:rPr>
        <w:t>地址：内乡县渚阳大街南82号</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rPr>
      </w:pPr>
      <w:r>
        <w:rPr>
          <w:rFonts w:hint="eastAsia" w:ascii="宋体" w:hAnsi="宋体" w:eastAsia="宋体" w:cs="宋体"/>
        </w:rPr>
        <w:t>联系人：</w:t>
      </w:r>
      <w:r>
        <w:rPr>
          <w:rFonts w:hint="eastAsia" w:ascii="宋体" w:hAnsi="宋体" w:eastAsia="宋体" w:cs="宋体"/>
          <w:lang w:val="en-US" w:eastAsia="zh-CN"/>
        </w:rPr>
        <w:t>张</w:t>
      </w:r>
      <w:r>
        <w:rPr>
          <w:rFonts w:hint="eastAsia" w:ascii="宋体" w:hAnsi="宋体" w:eastAsia="宋体" w:cs="宋体"/>
        </w:rPr>
        <w:t>先生</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rPr>
      </w:pPr>
      <w:r>
        <w:rPr>
          <w:rFonts w:hint="eastAsia" w:ascii="宋体" w:hAnsi="宋体" w:eastAsia="宋体" w:cs="宋体"/>
        </w:rPr>
        <w:t>联系电话：0377-</w:t>
      </w:r>
      <w:r>
        <w:rPr>
          <w:rFonts w:hint="eastAsia" w:ascii="宋体" w:hAnsi="宋体" w:eastAsia="宋体" w:cs="宋体"/>
          <w:lang w:val="en-US" w:eastAsia="zh-CN"/>
        </w:rPr>
        <w:t>65362907</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lang w:eastAsia="zh-CN"/>
        </w:rPr>
      </w:pPr>
      <w:r>
        <w:rPr>
          <w:rFonts w:hint="eastAsia" w:ascii="宋体" w:hAnsi="宋体" w:eastAsia="宋体" w:cs="宋体"/>
        </w:rPr>
        <w:t>招标代理机构：</w:t>
      </w:r>
      <w:r>
        <w:rPr>
          <w:rFonts w:hint="eastAsia" w:ascii="宋体" w:hAnsi="宋体" w:eastAsia="宋体" w:cs="宋体"/>
          <w:lang w:eastAsia="zh-CN"/>
        </w:rPr>
        <w:t>河南省天平招标代理有限公司</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lang w:eastAsia="zh-CN"/>
        </w:rPr>
      </w:pPr>
      <w:r>
        <w:rPr>
          <w:rFonts w:hint="eastAsia" w:ascii="宋体" w:hAnsi="宋体" w:eastAsia="宋体" w:cs="宋体"/>
        </w:rPr>
        <w:t>统一社会信用代码：914101027571050151</w:t>
      </w:r>
      <w:r>
        <w:rPr>
          <w:rFonts w:hint="eastAsia" w:ascii="宋体" w:hAnsi="宋体" w:eastAsia="宋体" w:cs="宋体"/>
          <w:lang w:val="en-US" w:eastAsia="zh-CN"/>
        </w:rPr>
        <w:t xml:space="preserve"> </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rPr>
      </w:pPr>
      <w:r>
        <w:rPr>
          <w:rFonts w:hint="eastAsia" w:ascii="宋体" w:hAnsi="宋体" w:eastAsia="宋体" w:cs="宋体"/>
        </w:rPr>
        <w:t>地址：</w:t>
      </w:r>
      <w:r>
        <w:rPr>
          <w:rFonts w:hint="eastAsia" w:ascii="宋体" w:hAnsi="宋体" w:eastAsia="宋体" w:cs="宋体"/>
          <w:lang w:eastAsia="zh-CN"/>
        </w:rPr>
        <w:t>郑州市电厂路与泾河路交叉口河南大学科技园16号楼C座15层1501室</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ascii="宋体" w:hAnsi="宋体" w:eastAsia="宋体" w:cs="宋体"/>
          <w:lang w:eastAsia="zh-CN"/>
        </w:rPr>
      </w:pPr>
      <w:r>
        <w:rPr>
          <w:rFonts w:hint="eastAsia" w:ascii="宋体" w:hAnsi="宋体" w:eastAsia="宋体" w:cs="宋体"/>
        </w:rPr>
        <w:t>联系人：</w:t>
      </w:r>
      <w:r>
        <w:rPr>
          <w:rFonts w:hint="eastAsia" w:ascii="宋体" w:hAnsi="宋体" w:eastAsia="宋体" w:cs="宋体"/>
          <w:lang w:eastAsia="zh-CN"/>
        </w:rPr>
        <w:t>姜女士</w:t>
      </w:r>
    </w:p>
    <w:p>
      <w:pPr>
        <w:keepNext w:val="0"/>
        <w:keepLines w:val="0"/>
        <w:pageBreakBefore w:val="0"/>
        <w:widowControl w:val="0"/>
        <w:kinsoku/>
        <w:wordWrap w:val="0"/>
        <w:overflowPunct/>
        <w:topLinePunct/>
        <w:autoSpaceDE/>
        <w:autoSpaceDN/>
        <w:bidi w:val="0"/>
        <w:adjustRightInd/>
        <w:snapToGrid/>
        <w:spacing w:line="360" w:lineRule="exact"/>
        <w:textAlignment w:val="auto"/>
        <w:outlineLvl w:val="9"/>
        <w:rPr>
          <w:rFonts w:hint="eastAsia"/>
        </w:rPr>
        <w:sectPr>
          <w:footerReference r:id="rId6" w:type="default"/>
          <w:pgSz w:w="11910" w:h="16840"/>
          <w:pgMar w:top="1417" w:right="1701" w:bottom="1417" w:left="1701" w:header="720" w:footer="720" w:gutter="0"/>
          <w:pgNumType w:fmt="decimal" w:start="1"/>
          <w:cols w:space="425" w:num="1"/>
          <w:rtlGutter w:val="0"/>
          <w:docGrid w:linePitch="0" w:charSpace="0"/>
        </w:sectPr>
      </w:pPr>
      <w:r>
        <w:rPr>
          <w:rFonts w:hint="eastAsia" w:ascii="宋体" w:hAnsi="宋体" w:eastAsia="宋体" w:cs="宋体"/>
        </w:rPr>
        <w:t>电话：</w:t>
      </w:r>
      <w:r>
        <w:rPr>
          <w:rFonts w:hint="eastAsia" w:ascii="宋体" w:hAnsi="宋体" w:eastAsia="宋体" w:cs="宋体"/>
          <w:lang w:eastAsia="zh-CN"/>
        </w:rPr>
        <w:t>0371-5660196</w:t>
      </w:r>
    </w:p>
    <w:bookmarkEnd w:id="2"/>
    <w:p>
      <w:pPr>
        <w:keepNext w:val="0"/>
        <w:keepLines w:val="0"/>
        <w:pageBreakBefore w:val="0"/>
        <w:widowControl w:val="0"/>
        <w:tabs>
          <w:tab w:val="left" w:pos="1119"/>
        </w:tabs>
        <w:kinsoku/>
        <w:wordWrap/>
        <w:overflowPunct/>
        <w:topLinePunct w:val="0"/>
        <w:autoSpaceDE w:val="0"/>
        <w:autoSpaceDN w:val="0"/>
        <w:bidi w:val="0"/>
        <w:adjustRightInd/>
        <w:snapToGrid/>
        <w:spacing w:before="0" w:line="484" w:lineRule="exact"/>
        <w:ind w:left="0" w:right="17" w:firstLine="0"/>
        <w:jc w:val="center"/>
        <w:textAlignment w:val="auto"/>
        <w:outlineLvl w:val="0"/>
        <w:rPr>
          <w:rFonts w:hint="eastAsia" w:ascii="宋体" w:hAnsi="宋体" w:eastAsia="宋体" w:cs="宋体"/>
          <w:b/>
          <w:sz w:val="28"/>
        </w:rPr>
      </w:pPr>
      <w:bookmarkStart w:id="3" w:name="_bookmark2"/>
      <w:bookmarkEnd w:id="3"/>
      <w:bookmarkStart w:id="4" w:name="_Toc14420"/>
      <w:bookmarkStart w:id="5" w:name="_Toc30206"/>
      <w:r>
        <w:rPr>
          <w:rFonts w:hint="eastAsia" w:ascii="宋体" w:hAnsi="宋体" w:eastAsia="宋体" w:cs="宋体"/>
          <w:b/>
          <w:sz w:val="28"/>
        </w:rPr>
        <w:t>第二章投标人须知</w:t>
      </w:r>
      <w:bookmarkEnd w:id="4"/>
      <w:bookmarkEnd w:id="5"/>
    </w:p>
    <w:p>
      <w:pPr>
        <w:pStyle w:val="11"/>
        <w:keepNext w:val="0"/>
        <w:keepLines w:val="0"/>
        <w:pageBreakBefore w:val="0"/>
        <w:widowControl w:val="0"/>
        <w:kinsoku/>
        <w:wordWrap/>
        <w:overflowPunct/>
        <w:topLinePunct w:val="0"/>
        <w:autoSpaceDE w:val="0"/>
        <w:autoSpaceDN w:val="0"/>
        <w:bidi w:val="0"/>
        <w:adjustRightInd/>
        <w:snapToGrid/>
        <w:spacing w:before="12"/>
        <w:textAlignment w:val="auto"/>
        <w:outlineLvl w:val="9"/>
        <w:rPr>
          <w:rFonts w:hint="eastAsia" w:ascii="宋体" w:hAnsi="宋体" w:eastAsia="宋体" w:cs="宋体"/>
          <w:b/>
          <w:sz w:val="7"/>
        </w:rPr>
      </w:pPr>
    </w:p>
    <w:p>
      <w:pPr>
        <w:keepNext w:val="0"/>
        <w:keepLines w:val="0"/>
        <w:pageBreakBefore w:val="0"/>
        <w:widowControl w:val="0"/>
        <w:kinsoku/>
        <w:wordWrap/>
        <w:overflowPunct/>
        <w:topLinePunct w:val="0"/>
        <w:autoSpaceDE w:val="0"/>
        <w:autoSpaceDN w:val="0"/>
        <w:bidi w:val="0"/>
        <w:adjustRightInd/>
        <w:snapToGrid/>
        <w:spacing w:before="61"/>
        <w:jc w:val="center"/>
        <w:textAlignment w:val="auto"/>
        <w:outlineLvl w:val="9"/>
        <w:rPr>
          <w:rFonts w:hint="eastAsia" w:ascii="宋体" w:hAnsi="宋体" w:eastAsia="宋体" w:cs="宋体"/>
          <w:b/>
          <w:bCs/>
        </w:rPr>
      </w:pPr>
      <w:r>
        <w:rPr>
          <w:rFonts w:hint="eastAsia" w:ascii="宋体" w:hAnsi="宋体" w:eastAsia="宋体" w:cs="宋体"/>
          <w:b/>
          <w:bCs/>
        </w:rPr>
        <w:t>投标人须知前附表</w:t>
      </w:r>
    </w:p>
    <w:tbl>
      <w:tblPr>
        <w:tblStyle w:val="19"/>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83"/>
        <w:gridCol w:w="2242"/>
        <w:gridCol w:w="345"/>
        <w:gridCol w:w="4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b/>
                <w:bCs/>
                <w:sz w:val="24"/>
                <w:szCs w:val="24"/>
                <w:vertAlign w:val="baseline"/>
              </w:rPr>
            </w:pPr>
            <w:r>
              <w:rPr>
                <w:rFonts w:hint="eastAsia" w:ascii="宋体" w:hAnsi="宋体" w:eastAsia="宋体" w:cs="宋体"/>
                <w:b/>
                <w:bCs/>
                <w:sz w:val="24"/>
                <w:szCs w:val="24"/>
              </w:rPr>
              <w:t>条款号</w:t>
            </w:r>
          </w:p>
        </w:tc>
        <w:tc>
          <w:tcPr>
            <w:tcW w:w="2242" w:type="dxa"/>
            <w:vAlign w:val="center"/>
          </w:tcPr>
          <w:p>
            <w:pPr>
              <w:pStyle w:val="31"/>
              <w:keepNext w:val="0"/>
              <w:keepLines w:val="0"/>
              <w:pageBreakBefore w:val="0"/>
              <w:widowControl w:val="0"/>
              <w:tabs>
                <w:tab w:val="left" w:pos="888"/>
                <w:tab w:val="left" w:pos="1308"/>
                <w:tab w:val="left" w:pos="1728"/>
              </w:tabs>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b/>
                <w:bCs/>
                <w:sz w:val="24"/>
                <w:szCs w:val="24"/>
                <w:vertAlign w:val="baseline"/>
              </w:rPr>
            </w:pPr>
            <w:r>
              <w:rPr>
                <w:rFonts w:hint="eastAsia" w:ascii="宋体" w:hAnsi="宋体" w:eastAsia="宋体" w:cs="宋体"/>
                <w:b/>
                <w:bCs/>
                <w:sz w:val="24"/>
                <w:szCs w:val="24"/>
              </w:rPr>
              <w:t>条款名称</w:t>
            </w:r>
          </w:p>
        </w:tc>
        <w:tc>
          <w:tcPr>
            <w:tcW w:w="5184" w:type="dxa"/>
            <w:gridSpan w:val="2"/>
            <w:vAlign w:val="center"/>
          </w:tcPr>
          <w:p>
            <w:pPr>
              <w:pStyle w:val="31"/>
              <w:keepNext w:val="0"/>
              <w:keepLines w:val="0"/>
              <w:pageBreakBefore w:val="0"/>
              <w:widowControl w:val="0"/>
              <w:tabs>
                <w:tab w:val="left" w:pos="429"/>
                <w:tab w:val="left" w:pos="849"/>
                <w:tab w:val="left" w:pos="1269"/>
              </w:tabs>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b/>
                <w:bCs/>
                <w:sz w:val="24"/>
                <w:szCs w:val="24"/>
                <w:vertAlign w:val="baseline"/>
              </w:rPr>
            </w:pPr>
            <w:r>
              <w:rPr>
                <w:rFonts w:hint="eastAsia" w:ascii="宋体" w:hAnsi="宋体" w:eastAsia="宋体" w:cs="宋体"/>
                <w:b/>
                <w:bCs/>
                <w:sz w:val="24"/>
                <w:szCs w:val="24"/>
              </w:rPr>
              <w:t>编</w:t>
            </w:r>
            <w:r>
              <w:rPr>
                <w:rFonts w:hint="eastAsia" w:ascii="宋体" w:hAnsi="宋体" w:eastAsia="宋体" w:cs="宋体"/>
                <w:b/>
                <w:bCs/>
                <w:sz w:val="24"/>
                <w:szCs w:val="24"/>
              </w:rPr>
              <w:tab/>
            </w:r>
            <w:r>
              <w:rPr>
                <w:rFonts w:hint="eastAsia" w:ascii="宋体" w:hAnsi="宋体" w:eastAsia="宋体" w:cs="宋体"/>
                <w:b/>
                <w:bCs/>
                <w:sz w:val="24"/>
                <w:szCs w:val="24"/>
              </w:rPr>
              <w:t>列</w:t>
            </w:r>
            <w:r>
              <w:rPr>
                <w:rFonts w:hint="eastAsia" w:ascii="宋体" w:hAnsi="宋体" w:eastAsia="宋体" w:cs="宋体"/>
                <w:b/>
                <w:bCs/>
                <w:sz w:val="24"/>
                <w:szCs w:val="24"/>
              </w:rPr>
              <w:tab/>
            </w:r>
            <w:r>
              <w:rPr>
                <w:rFonts w:hint="eastAsia" w:ascii="宋体" w:hAnsi="宋体" w:eastAsia="宋体" w:cs="宋体"/>
                <w:b/>
                <w:bCs/>
                <w:sz w:val="24"/>
                <w:szCs w:val="24"/>
              </w:rPr>
              <w:t>内</w:t>
            </w:r>
            <w:r>
              <w:rPr>
                <w:rFonts w:hint="eastAsia" w:ascii="宋体" w:hAnsi="宋体" w:eastAsia="宋体" w:cs="宋体"/>
                <w:b/>
                <w:bCs/>
                <w:sz w:val="24"/>
                <w:szCs w:val="24"/>
              </w:rPr>
              <w:tab/>
            </w:r>
            <w:r>
              <w:rPr>
                <w:rFonts w:hint="eastAsia" w:ascii="宋体" w:hAnsi="宋体" w:eastAsia="宋体" w:cs="宋体"/>
                <w:b/>
                <w:bCs/>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1.1.2</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招标人</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招标人：</w:t>
            </w:r>
            <w:r>
              <w:rPr>
                <w:rFonts w:hint="eastAsia" w:ascii="宋体" w:hAnsi="宋体" w:eastAsia="宋体" w:cs="宋体"/>
                <w:sz w:val="24"/>
                <w:szCs w:val="24"/>
                <w:lang w:eastAsia="zh-CN"/>
              </w:rPr>
              <w:t>内乡县自然资源局</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统一社会信用代码：11411325MB1816618W</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地址：内乡县渚阳大街南82号</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联系人：</w:t>
            </w:r>
            <w:r>
              <w:rPr>
                <w:rFonts w:hint="eastAsia" w:ascii="宋体" w:hAnsi="宋体" w:eastAsia="宋体" w:cs="宋体"/>
                <w:b w:val="0"/>
                <w:bCs w:val="0"/>
                <w:sz w:val="24"/>
                <w:szCs w:val="24"/>
                <w:vertAlign w:val="baseline"/>
                <w:lang w:val="en-US" w:eastAsia="zh-CN"/>
              </w:rPr>
              <w:t>张</w:t>
            </w:r>
            <w:r>
              <w:rPr>
                <w:rFonts w:hint="eastAsia" w:ascii="宋体" w:hAnsi="宋体" w:eastAsia="宋体" w:cs="宋体"/>
                <w:b w:val="0"/>
                <w:bCs w:val="0"/>
                <w:sz w:val="24"/>
                <w:szCs w:val="24"/>
                <w:vertAlign w:val="baseline"/>
              </w:rPr>
              <w:t>先生</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b w:val="0"/>
                <w:bCs w:val="0"/>
                <w:sz w:val="24"/>
                <w:szCs w:val="24"/>
                <w:vertAlign w:val="baseline"/>
              </w:rPr>
              <w:t>联系电话：0377-</w:t>
            </w:r>
            <w:r>
              <w:rPr>
                <w:rFonts w:hint="eastAsia" w:ascii="宋体" w:hAnsi="宋体" w:eastAsia="宋体" w:cs="宋体"/>
                <w:b w:val="0"/>
                <w:bCs w:val="0"/>
                <w:sz w:val="24"/>
                <w:szCs w:val="24"/>
                <w:vertAlign w:val="baseline"/>
                <w:lang w:val="en-US" w:eastAsia="zh-CN"/>
              </w:rPr>
              <w:t>65362907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1.1.3</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招标代理机构</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招标代理机构：</w:t>
            </w:r>
            <w:r>
              <w:rPr>
                <w:rFonts w:hint="eastAsia" w:ascii="宋体" w:hAnsi="宋体" w:eastAsia="宋体" w:cs="宋体"/>
                <w:sz w:val="24"/>
                <w:szCs w:val="24"/>
                <w:lang w:eastAsia="zh-CN"/>
              </w:rPr>
              <w:t>河南省天平招标代理有限公司</w:t>
            </w:r>
            <w:r>
              <w:rPr>
                <w:rFonts w:hint="eastAsia" w:ascii="宋体" w:hAnsi="宋体" w:eastAsia="宋体" w:cs="宋体"/>
                <w:sz w:val="24"/>
                <w:szCs w:val="24"/>
              </w:rPr>
              <w:t>统一社会信用代码：914101027571050151</w:t>
            </w:r>
            <w:r>
              <w:rPr>
                <w:rFonts w:hint="eastAsia" w:ascii="宋体" w:hAnsi="宋体" w:eastAsia="宋体" w:cs="宋体"/>
                <w:sz w:val="24"/>
                <w:szCs w:val="24"/>
                <w:lang w:val="en-US" w:eastAsia="zh-CN"/>
              </w:rPr>
              <w:t xml:space="preserve">  </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郑州市电厂路与泾河路交叉口河南大学科技园16号楼C座15层1501室</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姜女士</w:t>
            </w:r>
          </w:p>
          <w:p>
            <w:pPr>
              <w:pStyle w:val="31"/>
              <w:keepNext w:val="0"/>
              <w:keepLines w:val="0"/>
              <w:pageBreakBefore w:val="0"/>
              <w:widowControl w:val="0"/>
              <w:tabs>
                <w:tab w:val="right" w:pos="3782"/>
              </w:tabs>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电话：</w:t>
            </w:r>
            <w:r>
              <w:rPr>
                <w:rFonts w:hint="eastAsia" w:ascii="宋体" w:hAnsi="宋体" w:eastAsia="宋体" w:cs="宋体"/>
                <w:sz w:val="24"/>
                <w:szCs w:val="24"/>
                <w:lang w:eastAsia="zh-CN"/>
              </w:rPr>
              <w:t>0371-56601963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1.1.4</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项目名称</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lang w:eastAsia="zh-CN"/>
              </w:rPr>
              <w:t>内乡县柏树山石灰岩矿废弃矿山生态环境修复工程项目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1.1.5</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建设地点</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内乡县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1.2.1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资金来源</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1.2.2</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出资比例</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1.2.3</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资金落实情况</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工程建设资金已到位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1.3.1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招标范围</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b/>
                <w:bCs/>
                <w:sz w:val="24"/>
                <w:szCs w:val="24"/>
                <w:vertAlign w:val="baseline"/>
                <w:lang w:eastAsia="zh-CN"/>
              </w:rPr>
            </w:pPr>
            <w:r>
              <w:rPr>
                <w:rFonts w:hint="eastAsia" w:cs="宋体"/>
                <w:sz w:val="24"/>
                <w:szCs w:val="24"/>
                <w:lang w:eastAsia="zh-CN"/>
              </w:rPr>
              <w:t>工程量清单所包含的全部内容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1.3.2</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color w:val="auto"/>
                <w:sz w:val="24"/>
                <w:szCs w:val="24"/>
                <w:vertAlign w:val="baseline"/>
              </w:rPr>
            </w:pPr>
            <w:r>
              <w:rPr>
                <w:rFonts w:hint="eastAsia" w:ascii="宋体" w:hAnsi="宋体" w:eastAsia="宋体" w:cs="宋体"/>
                <w:color w:val="auto"/>
                <w:sz w:val="24"/>
                <w:szCs w:val="24"/>
              </w:rPr>
              <w:t>计划工期</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color w:val="auto"/>
                <w:sz w:val="24"/>
                <w:szCs w:val="24"/>
                <w:vertAlign w:val="baseline"/>
                <w:lang w:eastAsia="zh-CN"/>
              </w:rPr>
            </w:pPr>
            <w:r>
              <w:rPr>
                <w:rFonts w:hint="eastAsia" w:cs="宋体"/>
                <w:color w:val="auto"/>
                <w:sz w:val="24"/>
                <w:szCs w:val="24"/>
                <w:u w:val="none"/>
                <w:lang w:val="en-US" w:eastAsia="zh-CN"/>
              </w:rPr>
              <w:t>210</w:t>
            </w:r>
            <w:r>
              <w:rPr>
                <w:rFonts w:hint="eastAsia" w:ascii="宋体" w:hAnsi="宋体" w:eastAsia="宋体" w:cs="宋体"/>
                <w:color w:val="auto"/>
                <w:sz w:val="24"/>
                <w:szCs w:val="24"/>
              </w:rPr>
              <w:t>日历天</w:t>
            </w:r>
            <w:r>
              <w:rPr>
                <w:rFonts w:hint="eastAsia" w:ascii="宋体" w:hAnsi="宋体" w:eastAsia="宋体" w:cs="宋体"/>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1.3.3</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质量要求</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vertAlign w:val="baseline"/>
              </w:rPr>
            </w:pPr>
            <w:r>
              <w:rPr>
                <w:rFonts w:hint="eastAsia" w:ascii="宋体" w:hAnsi="宋体" w:eastAsia="宋体" w:cs="宋体"/>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投标人资质条件、能力和信誉</w:t>
            </w:r>
          </w:p>
        </w:tc>
        <w:tc>
          <w:tcPr>
            <w:tcW w:w="5184" w:type="dxa"/>
            <w:gridSpan w:val="2"/>
            <w:vAlign w:val="center"/>
          </w:tcPr>
          <w:p>
            <w:pPr>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default" w:ascii="宋体" w:hAnsi="宋体" w:eastAsia="宋体" w:cs="宋体"/>
                <w:sz w:val="24"/>
                <w:szCs w:val="24"/>
                <w:lang w:val="en-US"/>
              </w:rPr>
            </w:pPr>
            <w:r>
              <w:rPr>
                <w:rFonts w:hint="eastAsia" w:cs="宋体"/>
                <w:sz w:val="24"/>
                <w:szCs w:val="24"/>
                <w:lang w:val="en-US" w:eastAsia="zh-CN"/>
              </w:rPr>
              <w:t>详见招标公告资格要求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1.4.2</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是否接受联合体投标</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cs="宋体"/>
                <w:sz w:val="24"/>
                <w:szCs w:val="24"/>
                <w:lang w:val="en-US" w:eastAsia="zh-CN"/>
              </w:rPr>
              <w:t>不</w:t>
            </w:r>
            <w:r>
              <w:rPr>
                <w:rFonts w:hint="eastAsia" w:ascii="宋体" w:hAnsi="宋体" w:eastAsia="宋体" w:cs="宋体"/>
                <w:sz w:val="24"/>
                <w:szCs w:val="24"/>
              </w:rPr>
              <w:t>接受</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1.9.1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踏勘现场</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不统一组织</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可自行对现场进行踏勘。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1.10.1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投标预备会</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cs="宋体"/>
                <w:spacing w:val="-105"/>
                <w:position w:val="3"/>
                <w:sz w:val="24"/>
                <w:szCs w:val="24"/>
                <w:lang w:eastAsia="zh-CN"/>
              </w:rPr>
              <w:t>☑</w:t>
            </w:r>
            <w:r>
              <w:rPr>
                <w:rFonts w:hint="eastAsia" w:cs="宋体"/>
                <w:spacing w:val="-105"/>
                <w:position w:val="3"/>
                <w:sz w:val="24"/>
                <w:szCs w:val="24"/>
                <w:lang w:val="en-US" w:eastAsia="zh-CN"/>
              </w:rPr>
              <w:t xml:space="preserve">         </w:t>
            </w:r>
            <w:r>
              <w:rPr>
                <w:rFonts w:hint="eastAsia" w:ascii="宋体" w:hAnsi="宋体" w:eastAsia="宋体" w:cs="宋体"/>
                <w:sz w:val="24"/>
                <w:szCs w:val="24"/>
              </w:rPr>
              <w:t>不召开</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1.10.2</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投标人提出问题的截止时间</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投标截止时间 15 日之前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1.10.3</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招标人书面澄清的时间</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投标截止时间 15 日之前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1.11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color w:val="auto"/>
                <w:sz w:val="24"/>
                <w:szCs w:val="24"/>
              </w:rPr>
            </w:pPr>
          </w:p>
          <w:p>
            <w:pPr>
              <w:pStyle w:val="31"/>
              <w:keepNext w:val="0"/>
              <w:keepLines w:val="0"/>
              <w:pageBreakBefore w:val="0"/>
              <w:widowControl w:val="0"/>
              <w:tabs>
                <w:tab w:val="left" w:pos="527"/>
              </w:tabs>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分</w:t>
            </w:r>
            <w:r>
              <w:rPr>
                <w:rFonts w:hint="eastAsia" w:ascii="宋体" w:hAnsi="宋体" w:eastAsia="宋体" w:cs="宋体"/>
                <w:color w:val="auto"/>
                <w:sz w:val="24"/>
                <w:szCs w:val="24"/>
              </w:rPr>
              <w:tab/>
            </w:r>
            <w:r>
              <w:rPr>
                <w:rFonts w:hint="eastAsia" w:ascii="宋体" w:hAnsi="宋体" w:eastAsia="宋体" w:cs="宋体"/>
                <w:color w:val="auto"/>
                <w:sz w:val="24"/>
                <w:szCs w:val="24"/>
              </w:rPr>
              <w:t>包</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cs="宋体"/>
                <w:color w:val="auto"/>
                <w:sz w:val="24"/>
                <w:szCs w:val="24"/>
                <w:lang w:eastAsia="zh-CN"/>
              </w:rPr>
            </w:pPr>
            <w:r>
              <w:rPr>
                <w:rFonts w:hint="eastAsia" w:cs="宋体"/>
                <w:color w:val="auto"/>
                <w:sz w:val="24"/>
                <w:szCs w:val="24"/>
                <w:lang w:eastAsia="zh-CN"/>
              </w:rPr>
              <w:t>□不允许</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允许，分包内容要求：中标人按照合同约定或者经招标人同意，可以将中标项目的部分非主体、非关键性工作分包给他人完成。接受分包的人应当具备相应的资格条件，并不得再次分包。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1.12</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tabs>
                <w:tab w:val="left" w:pos="527"/>
              </w:tabs>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偏</w:t>
            </w:r>
            <w:r>
              <w:rPr>
                <w:rFonts w:hint="eastAsia" w:ascii="宋体" w:hAnsi="宋体" w:eastAsia="宋体" w:cs="宋体"/>
                <w:sz w:val="24"/>
                <w:szCs w:val="24"/>
              </w:rPr>
              <w:tab/>
            </w:r>
            <w:r>
              <w:rPr>
                <w:rFonts w:hint="eastAsia" w:ascii="宋体" w:hAnsi="宋体" w:eastAsia="宋体" w:cs="宋体"/>
                <w:sz w:val="24"/>
                <w:szCs w:val="24"/>
              </w:rPr>
              <w:t>离</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不允许</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2.1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构成招标文件的其他材料</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招标人或招标代理机构发出的补遗书和其他正式有效函件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2.2.1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投标人要求澄清招标文件的截止时</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间</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投标截止时间 15 日之前。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2.2.2</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投标截止时间</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u w:val="none"/>
              </w:rPr>
              <w:t>2021 年</w:t>
            </w:r>
            <w:r>
              <w:rPr>
                <w:rFonts w:hint="eastAsia" w:cs="宋体"/>
                <w:sz w:val="24"/>
                <w:szCs w:val="24"/>
                <w:u w:val="none"/>
                <w:lang w:val="en-US" w:eastAsia="zh-CN"/>
              </w:rPr>
              <w:t>04</w:t>
            </w:r>
            <w:r>
              <w:rPr>
                <w:rFonts w:hint="eastAsia" w:ascii="宋体" w:hAnsi="宋体" w:eastAsia="宋体" w:cs="宋体"/>
                <w:sz w:val="24"/>
                <w:szCs w:val="24"/>
                <w:u w:val="none"/>
              </w:rPr>
              <w:t>月</w:t>
            </w:r>
            <w:r>
              <w:rPr>
                <w:rFonts w:hint="eastAsia" w:cs="宋体"/>
                <w:sz w:val="24"/>
                <w:szCs w:val="24"/>
                <w:u w:val="none"/>
                <w:lang w:val="en-US" w:eastAsia="zh-CN"/>
              </w:rPr>
              <w:t>23</w:t>
            </w:r>
            <w:r>
              <w:rPr>
                <w:rFonts w:hint="eastAsia" w:ascii="宋体" w:hAnsi="宋体" w:eastAsia="宋体" w:cs="宋体"/>
                <w:sz w:val="24"/>
                <w:szCs w:val="24"/>
                <w:u w:val="none"/>
              </w:rPr>
              <w:t>日</w:t>
            </w:r>
            <w:r>
              <w:rPr>
                <w:rFonts w:hint="eastAsia" w:cs="宋体"/>
                <w:sz w:val="24"/>
                <w:szCs w:val="24"/>
                <w:u w:val="none"/>
                <w:lang w:val="en-US" w:eastAsia="zh-CN"/>
              </w:rPr>
              <w:t>09</w:t>
            </w:r>
            <w:r>
              <w:rPr>
                <w:rFonts w:hint="eastAsia" w:ascii="宋体" w:hAnsi="宋体" w:eastAsia="宋体" w:cs="宋体"/>
                <w:sz w:val="24"/>
                <w:szCs w:val="24"/>
                <w:u w:val="none"/>
              </w:rPr>
              <w:t>时 00 分</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北京时间</w:t>
            </w:r>
            <w:r>
              <w:rPr>
                <w:rFonts w:hint="eastAsia" w:ascii="宋体" w:hAnsi="宋体" w:eastAsia="宋体" w:cs="宋体"/>
                <w:sz w:val="24"/>
                <w:szCs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2.2.3</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投标人确认收到招标文件澄清的时</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间</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澄清文件发出后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2.3.2</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投标人确认收到招标文件修改的时</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间</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修改文件发出后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3.1.1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构成投标文件的其他材料</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详见第八章其他材料的具体要求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3.3.1</w:t>
            </w:r>
          </w:p>
        </w:tc>
        <w:tc>
          <w:tcPr>
            <w:tcW w:w="2242"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投标有效期</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u w:val="none"/>
                <w:lang w:eastAsia="zh-CN"/>
              </w:rPr>
              <w:t>递交</w:t>
            </w:r>
            <w:r>
              <w:rPr>
                <w:rFonts w:hint="eastAsia" w:ascii="宋体" w:hAnsi="宋体" w:eastAsia="宋体" w:cs="宋体"/>
                <w:sz w:val="24"/>
                <w:szCs w:val="24"/>
                <w:u w:val="none"/>
                <w:lang w:val="en-US" w:eastAsia="zh-CN"/>
              </w:rPr>
              <w:t>投标</w:t>
            </w:r>
            <w:r>
              <w:rPr>
                <w:rFonts w:hint="eastAsia" w:ascii="宋体" w:hAnsi="宋体" w:eastAsia="宋体" w:cs="宋体"/>
                <w:sz w:val="24"/>
                <w:szCs w:val="24"/>
                <w:u w:val="none"/>
                <w:lang w:eastAsia="zh-CN"/>
              </w:rPr>
              <w:t>文件截止之日起</w:t>
            </w:r>
            <w:r>
              <w:rPr>
                <w:rFonts w:hint="eastAsia" w:ascii="宋体" w:hAnsi="宋体" w:eastAsia="宋体" w:cs="宋体"/>
                <w:sz w:val="24"/>
                <w:szCs w:val="24"/>
                <w:u w:val="none"/>
              </w:rPr>
              <w:t>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3.4.1</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投标保证金</w:t>
            </w:r>
          </w:p>
        </w:tc>
        <w:tc>
          <w:tcPr>
            <w:tcW w:w="5184" w:type="dxa"/>
            <w:gridSpan w:val="2"/>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人民币：</w:t>
            </w:r>
            <w:r>
              <w:rPr>
                <w:rFonts w:hint="eastAsia" w:cs="宋体"/>
                <w:color w:val="FF0000"/>
                <w:sz w:val="24"/>
                <w:szCs w:val="24"/>
                <w:lang w:val="en-US" w:eastAsia="zh-CN"/>
              </w:rPr>
              <w:t>柒</w:t>
            </w:r>
            <w:r>
              <w:rPr>
                <w:rFonts w:hint="eastAsia" w:ascii="宋体" w:hAnsi="宋体" w:eastAsia="宋体" w:cs="宋体"/>
                <w:color w:val="FF0000"/>
                <w:sz w:val="24"/>
                <w:szCs w:val="24"/>
                <w:lang w:val="en-US" w:eastAsia="zh-CN"/>
              </w:rPr>
              <w:t>拾</w:t>
            </w:r>
            <w:r>
              <w:rPr>
                <w:rFonts w:hint="eastAsia" w:ascii="宋体" w:hAnsi="宋体" w:eastAsia="宋体" w:cs="宋体"/>
                <w:color w:val="FF0000"/>
                <w:sz w:val="24"/>
                <w:szCs w:val="24"/>
              </w:rPr>
              <w:t>万元整（¥</w:t>
            </w:r>
            <w:r>
              <w:rPr>
                <w:rFonts w:hint="eastAsia" w:ascii="宋体" w:hAnsi="宋体" w:eastAsia="宋体" w:cs="宋体"/>
                <w:color w:val="FF0000"/>
                <w:sz w:val="24"/>
                <w:szCs w:val="24"/>
                <w:lang w:eastAsia="zh-CN"/>
              </w:rPr>
              <w:t>：</w:t>
            </w:r>
            <w:r>
              <w:rPr>
                <w:rFonts w:hint="eastAsia" w:cs="宋体"/>
                <w:color w:val="FF0000"/>
                <w:sz w:val="24"/>
                <w:szCs w:val="24"/>
                <w:lang w:val="en-US" w:eastAsia="zh-CN"/>
              </w:rPr>
              <w:t>7</w:t>
            </w:r>
            <w:r>
              <w:rPr>
                <w:rFonts w:hint="eastAsia" w:ascii="宋体" w:hAnsi="宋体" w:eastAsia="宋体" w:cs="宋体"/>
                <w:color w:val="FF0000"/>
                <w:sz w:val="24"/>
                <w:szCs w:val="24"/>
                <w:lang w:val="en-US" w:eastAsia="zh-CN"/>
              </w:rPr>
              <w:t>00000</w:t>
            </w:r>
            <w:r>
              <w:rPr>
                <w:rFonts w:hint="eastAsia" w:ascii="宋体" w:hAnsi="宋体" w:eastAsia="宋体" w:cs="宋体"/>
                <w:color w:val="FF0000"/>
                <w:sz w:val="24"/>
                <w:szCs w:val="24"/>
              </w:rPr>
              <w:t>元）。</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color w:val="auto"/>
                <w:sz w:val="24"/>
                <w:szCs w:val="24"/>
              </w:rPr>
              <w:t>各潜在投标人应以银行转账、电</w:t>
            </w:r>
            <w:r>
              <w:rPr>
                <w:rFonts w:hint="eastAsia" w:ascii="宋体" w:hAnsi="宋体" w:eastAsia="宋体" w:cs="宋体"/>
                <w:sz w:val="24"/>
                <w:szCs w:val="24"/>
              </w:rPr>
              <w:t>汇形式通过设立的银行企业基本存款账户（企业基本账户必须与企业诚信库内填写的基本账户信息完全一致）中转出至以下账户（否则视为自动放弃投，并注明项目编号，投标保证金截止时间：2021 年</w:t>
            </w:r>
            <w:r>
              <w:rPr>
                <w:rFonts w:hint="eastAsia" w:cs="宋体"/>
                <w:sz w:val="24"/>
                <w:szCs w:val="24"/>
                <w:lang w:val="en-US" w:eastAsia="zh-CN"/>
              </w:rPr>
              <w:t>4</w:t>
            </w:r>
            <w:r>
              <w:rPr>
                <w:rFonts w:hint="eastAsia" w:ascii="宋体" w:hAnsi="宋体" w:eastAsia="宋体" w:cs="宋体"/>
                <w:sz w:val="24"/>
                <w:szCs w:val="24"/>
              </w:rPr>
              <w:t>月</w:t>
            </w:r>
            <w:r>
              <w:rPr>
                <w:rFonts w:hint="eastAsia" w:cs="宋体"/>
                <w:sz w:val="24"/>
                <w:szCs w:val="24"/>
                <w:lang w:val="en-US" w:eastAsia="zh-CN"/>
              </w:rPr>
              <w:t>23</w:t>
            </w:r>
            <w:r>
              <w:rPr>
                <w:rFonts w:hint="eastAsia" w:ascii="宋体" w:hAnsi="宋体" w:eastAsia="宋体" w:cs="宋体"/>
                <w:sz w:val="24"/>
                <w:szCs w:val="24"/>
              </w:rPr>
              <w:t>日</w:t>
            </w:r>
            <w:r>
              <w:rPr>
                <w:rFonts w:hint="eastAsia" w:cs="宋体"/>
                <w:sz w:val="24"/>
                <w:szCs w:val="24"/>
                <w:lang w:val="en-US" w:eastAsia="zh-CN"/>
              </w:rPr>
              <w:t>09</w:t>
            </w:r>
            <w:r>
              <w:rPr>
                <w:rFonts w:hint="eastAsia" w:ascii="宋体" w:hAnsi="宋体" w:eastAsia="宋体" w:cs="宋体"/>
                <w:sz w:val="24"/>
                <w:szCs w:val="24"/>
              </w:rPr>
              <w:t>：00 整（以到账时间为准）之前。</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保证金账号户名：内乡县公共资源交易中心保证金专户注：</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1、本项目不提供投标保证金到账核准服务，因此投标人须认真核对账户名，开户行等相关信息，确保所投项目的保证金及时、准确到账。</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2、以开标时交易中心电子交易系统显示的银行数据为准，因跨地区、跨行转账以及银行周末不办公等因素请各投标单位予以考虑提前办理。</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如果以保函形式交纳投标保证金，具体要求如下：</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1、投标企业必须首先确认本企业诚信库内填写的基本账户相关信息真实准确；</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2、企业可以在交易中心电子交易系统业务管理“电子保函申请”功能中自主选择电子保函平台、承保机构办理电子保函业务；</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3、办理电子投标保函费用必须出自投标企业基本账号；</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4、投标截止时间前投标企业应按照以上要求在保函平台中申请并生成电子投标保函。否则开标现场交易系统将无法获取到该投标单位的电子投标保函，视为未缴纳投标保证金，其投标文件将被拒绝，不能参加开标活动。</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注：此项目投标保证金请注明项目名称和所投标段。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3.5.2</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近年财务审计报告的年份要求</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u w:val="single"/>
              </w:rPr>
              <w:t>近 3</w:t>
            </w:r>
            <w:r>
              <w:rPr>
                <w:rFonts w:hint="eastAsia" w:ascii="宋体" w:hAnsi="宋体" w:eastAsia="宋体" w:cs="宋体"/>
                <w:sz w:val="24"/>
                <w:szCs w:val="24"/>
              </w:rPr>
              <w:t xml:space="preserve"> 年，指 </w:t>
            </w:r>
            <w:r>
              <w:rPr>
                <w:rFonts w:hint="eastAsia" w:ascii="宋体" w:hAnsi="宋体" w:eastAsia="宋体" w:cs="宋体"/>
                <w:sz w:val="24"/>
                <w:szCs w:val="24"/>
                <w:u w:val="single"/>
              </w:rPr>
              <w:t>2017、2018、2019 年</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3.5.3</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近年完成的类似项目的年份要求</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u w:val="single"/>
              </w:rPr>
              <w:t>近 3</w:t>
            </w:r>
            <w:r>
              <w:rPr>
                <w:rFonts w:hint="eastAsia" w:ascii="宋体" w:hAnsi="宋体" w:eastAsia="宋体" w:cs="宋体"/>
                <w:sz w:val="24"/>
                <w:szCs w:val="24"/>
              </w:rPr>
              <w:t xml:space="preserve"> 年，指 </w:t>
            </w:r>
            <w:r>
              <w:rPr>
                <w:rFonts w:hint="eastAsia" w:ascii="宋体" w:hAnsi="宋体" w:eastAsia="宋体" w:cs="宋体"/>
                <w:sz w:val="24"/>
                <w:szCs w:val="24"/>
                <w:u w:val="single"/>
              </w:rPr>
              <w:t>201</w:t>
            </w:r>
            <w:r>
              <w:rPr>
                <w:rFonts w:hint="eastAsia" w:ascii="宋体" w:hAnsi="宋体" w:eastAsia="宋体" w:cs="宋体"/>
                <w:sz w:val="24"/>
                <w:szCs w:val="24"/>
                <w:u w:val="single"/>
                <w:lang w:val="en-US" w:eastAsia="zh-CN"/>
              </w:rPr>
              <w:t>7</w:t>
            </w:r>
            <w:r>
              <w:rPr>
                <w:rFonts w:hint="eastAsia" w:ascii="宋体" w:hAnsi="宋体" w:eastAsia="宋体" w:cs="宋体"/>
                <w:sz w:val="24"/>
                <w:szCs w:val="24"/>
              </w:rPr>
              <w:t xml:space="preserve"> 年 </w:t>
            </w:r>
            <w:r>
              <w:rPr>
                <w:rFonts w:hint="eastAsia" w:ascii="宋体" w:hAnsi="宋体" w:eastAsia="宋体" w:cs="宋体"/>
                <w:sz w:val="24"/>
                <w:szCs w:val="24"/>
                <w:u w:val="single"/>
              </w:rPr>
              <w:t>1</w:t>
            </w:r>
            <w:r>
              <w:rPr>
                <w:rFonts w:hint="eastAsia" w:ascii="宋体" w:hAnsi="宋体" w:eastAsia="宋体" w:cs="宋体"/>
                <w:sz w:val="24"/>
                <w:szCs w:val="24"/>
              </w:rPr>
              <w:t xml:space="preserve"> 月 </w:t>
            </w:r>
            <w:r>
              <w:rPr>
                <w:rFonts w:hint="eastAsia" w:ascii="宋体" w:hAnsi="宋体" w:eastAsia="宋体" w:cs="宋体"/>
                <w:sz w:val="24"/>
                <w:szCs w:val="24"/>
                <w:u w:val="single"/>
              </w:rPr>
              <w:t>1</w:t>
            </w:r>
            <w:r>
              <w:rPr>
                <w:rFonts w:hint="eastAsia" w:ascii="宋体" w:hAnsi="宋体" w:eastAsia="宋体" w:cs="宋体"/>
                <w:sz w:val="24"/>
                <w:szCs w:val="24"/>
              </w:rPr>
              <w:t xml:space="preserve"> 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3.5.5</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近年发生的诉讼及仲裁情况的年份要求</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u w:val="single"/>
              </w:rPr>
              <w:t>近 3</w:t>
            </w:r>
            <w:r>
              <w:rPr>
                <w:rFonts w:hint="eastAsia" w:ascii="宋体" w:hAnsi="宋体" w:eastAsia="宋体" w:cs="宋体"/>
                <w:sz w:val="24"/>
                <w:szCs w:val="24"/>
              </w:rPr>
              <w:t xml:space="preserve"> 年，指 </w:t>
            </w:r>
            <w:r>
              <w:rPr>
                <w:rFonts w:hint="eastAsia" w:ascii="宋体" w:hAnsi="宋体" w:eastAsia="宋体" w:cs="宋体"/>
                <w:sz w:val="24"/>
                <w:szCs w:val="24"/>
                <w:u w:val="single"/>
              </w:rPr>
              <w:t>2018</w:t>
            </w:r>
            <w:r>
              <w:rPr>
                <w:rFonts w:hint="eastAsia" w:ascii="宋体" w:hAnsi="宋体" w:eastAsia="宋体" w:cs="宋体"/>
                <w:sz w:val="24"/>
                <w:szCs w:val="24"/>
              </w:rPr>
              <w:t xml:space="preserve"> 年 </w:t>
            </w:r>
            <w:r>
              <w:rPr>
                <w:rFonts w:hint="eastAsia" w:ascii="宋体" w:hAnsi="宋体" w:eastAsia="宋体" w:cs="宋体"/>
                <w:sz w:val="24"/>
                <w:szCs w:val="24"/>
                <w:u w:val="single"/>
              </w:rPr>
              <w:t>1</w:t>
            </w:r>
            <w:r>
              <w:rPr>
                <w:rFonts w:hint="eastAsia" w:ascii="宋体" w:hAnsi="宋体" w:eastAsia="宋体" w:cs="宋体"/>
                <w:sz w:val="24"/>
                <w:szCs w:val="24"/>
              </w:rPr>
              <w:t xml:space="preserve"> 月 </w:t>
            </w:r>
            <w:r>
              <w:rPr>
                <w:rFonts w:hint="eastAsia" w:ascii="宋体" w:hAnsi="宋体" w:eastAsia="宋体" w:cs="宋体"/>
                <w:sz w:val="24"/>
                <w:szCs w:val="24"/>
                <w:u w:val="single"/>
              </w:rPr>
              <w:t>1</w:t>
            </w:r>
            <w:r>
              <w:rPr>
                <w:rFonts w:hint="eastAsia" w:ascii="宋体" w:hAnsi="宋体" w:eastAsia="宋体" w:cs="宋体"/>
                <w:sz w:val="24"/>
                <w:szCs w:val="24"/>
              </w:rPr>
              <w:t xml:space="preserve"> 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right="57"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3.6</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是否允许递交备选投标方案</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pacing w:val="-140"/>
                <w:position w:val="4"/>
                <w:sz w:val="24"/>
                <w:szCs w:val="24"/>
              </w:rPr>
              <w:t>□√</w:t>
            </w:r>
            <w:r>
              <w:rPr>
                <w:rFonts w:hint="eastAsia" w:ascii="宋体" w:hAnsi="宋体" w:eastAsia="宋体" w:cs="宋体"/>
                <w:sz w:val="24"/>
                <w:szCs w:val="24"/>
              </w:rPr>
              <w:t>不允许</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3.7.3</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签字和盖章要求</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3.7.4</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投标文件份数</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电子投标文件一份，在投标截止时间前上传至交易系统。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3.7.5</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纸质版装订要求</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pacing w:val="-6"/>
                <w:sz w:val="24"/>
                <w:szCs w:val="24"/>
              </w:rPr>
              <w:t xml:space="preserve">按照投标人须知第 </w:t>
            </w:r>
            <w:r>
              <w:rPr>
                <w:rFonts w:hint="eastAsia" w:ascii="宋体" w:hAnsi="宋体" w:eastAsia="宋体" w:cs="宋体"/>
                <w:sz w:val="24"/>
                <w:szCs w:val="24"/>
              </w:rPr>
              <w:t>3.1.1</w:t>
            </w:r>
            <w:r>
              <w:rPr>
                <w:rFonts w:hint="eastAsia" w:ascii="宋体" w:hAnsi="宋体" w:eastAsia="宋体" w:cs="宋体"/>
                <w:spacing w:val="-8"/>
                <w:sz w:val="24"/>
                <w:szCs w:val="24"/>
              </w:rPr>
              <w:t xml:space="preserve"> 项规定的投标文件组成内容，投标文</w:t>
            </w:r>
            <w:r>
              <w:rPr>
                <w:rFonts w:hint="eastAsia" w:ascii="宋体" w:hAnsi="宋体" w:eastAsia="宋体" w:cs="宋体"/>
                <w:sz w:val="24"/>
                <w:szCs w:val="24"/>
              </w:rPr>
              <w:t>件应按以下要求装订：投标文件纸质版胶装方式装订，不得采用活页夹。</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注：投标文件书脊应标明项目名称、标段（如分册，还应标明第 XX 册，共 XX 册）。</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注：若招标人需要，潜在投标人中标后，须按招标人要求提供相应份数纸质版投标文件（须为加盖电子签章后生成的 pdf 投标文件，封面须加盖单位公章）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4.1.2</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封套上写明（仅指纸质版）</w:t>
            </w:r>
          </w:p>
        </w:tc>
        <w:tc>
          <w:tcPr>
            <w:tcW w:w="5184" w:type="dxa"/>
            <w:gridSpan w:val="2"/>
            <w:vAlign w:val="center"/>
          </w:tcPr>
          <w:p>
            <w:pPr>
              <w:pStyle w:val="31"/>
              <w:keepNext w:val="0"/>
              <w:keepLines w:val="0"/>
              <w:pageBreakBefore w:val="0"/>
              <w:numPr>
                <w:ilvl w:val="0"/>
                <w:numId w:val="1"/>
              </w:numPr>
              <w:tabs>
                <w:tab w:val="left" w:pos="634"/>
                <w:tab w:val="left" w:pos="4355"/>
              </w:tabs>
              <w:kinsoku/>
              <w:wordWrap w:val="0"/>
              <w:overflowPunct/>
              <w:topLinePunct/>
              <w:autoSpaceDE/>
              <w:autoSpaceDN/>
              <w:bidi w:val="0"/>
              <w:adjustRightInd/>
              <w:snapToGrid/>
              <w:spacing w:before="2" w:after="0" w:afterLines="10" w:line="360" w:lineRule="auto"/>
              <w:ind w:left="548" w:leftChars="10" w:right="57" w:hanging="526"/>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投标人的名称：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31"/>
              <w:keepNext w:val="0"/>
              <w:keepLines w:val="0"/>
              <w:pageBreakBefore w:val="0"/>
              <w:numPr>
                <w:ilvl w:val="0"/>
                <w:numId w:val="1"/>
              </w:numPr>
              <w:tabs>
                <w:tab w:val="left" w:pos="634"/>
                <w:tab w:val="left" w:pos="4040"/>
              </w:tabs>
              <w:kinsoku/>
              <w:wordWrap w:val="0"/>
              <w:overflowPunct/>
              <w:topLinePunct/>
              <w:autoSpaceDE/>
              <w:autoSpaceDN/>
              <w:bidi w:val="0"/>
              <w:adjustRightInd/>
              <w:snapToGrid/>
              <w:spacing w:before="2" w:after="0" w:afterLines="10" w:line="360" w:lineRule="auto"/>
              <w:ind w:left="548" w:leftChars="10" w:right="57" w:hanging="526"/>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31"/>
              <w:keepNext w:val="0"/>
              <w:keepLines w:val="0"/>
              <w:pageBreakBefore w:val="0"/>
              <w:numPr>
                <w:ilvl w:val="0"/>
                <w:numId w:val="1"/>
              </w:numPr>
              <w:tabs>
                <w:tab w:val="left" w:pos="634"/>
                <w:tab w:val="left" w:pos="4145"/>
              </w:tabs>
              <w:kinsoku/>
              <w:wordWrap w:val="0"/>
              <w:overflowPunct/>
              <w:topLinePunct/>
              <w:autoSpaceDE/>
              <w:autoSpaceDN/>
              <w:bidi w:val="0"/>
              <w:adjustRightInd/>
              <w:snapToGrid/>
              <w:spacing w:before="2" w:after="0" w:afterLines="10" w:line="360" w:lineRule="auto"/>
              <w:ind w:left="548" w:leftChars="10" w:right="57" w:hanging="526"/>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31"/>
              <w:keepNext w:val="0"/>
              <w:keepLines w:val="0"/>
              <w:pageBreakBefore w:val="0"/>
              <w:numPr>
                <w:ilvl w:val="0"/>
                <w:numId w:val="1"/>
              </w:numPr>
              <w:tabs>
                <w:tab w:val="left" w:pos="634"/>
              </w:tabs>
              <w:kinsoku/>
              <w:wordWrap w:val="0"/>
              <w:overflowPunct/>
              <w:topLinePunct/>
              <w:autoSpaceDE/>
              <w:autoSpaceDN/>
              <w:bidi w:val="0"/>
              <w:adjustRightInd/>
              <w:snapToGrid/>
              <w:spacing w:before="2" w:after="0" w:afterLines="10" w:line="360" w:lineRule="auto"/>
              <w:ind w:left="548" w:leftChars="10" w:right="57" w:hanging="526"/>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在投标截止时间前不得开封。</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并在封套封口处加盖投标人 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4.2.2</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投标文件的递交</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电子投标文件递交：</w:t>
            </w:r>
          </w:p>
          <w:p>
            <w:pPr>
              <w:pStyle w:val="31"/>
              <w:keepNext w:val="0"/>
              <w:keepLines w:val="0"/>
              <w:pageBreakBefore w:val="0"/>
              <w:numPr>
                <w:ilvl w:val="0"/>
                <w:numId w:val="2"/>
              </w:numPr>
              <w:tabs>
                <w:tab w:val="left" w:pos="319"/>
              </w:tabs>
              <w:kinsoku/>
              <w:wordWrap w:val="0"/>
              <w:overflowPunct/>
              <w:topLinePunct/>
              <w:autoSpaceDE/>
              <w:autoSpaceDN/>
              <w:bidi w:val="0"/>
              <w:adjustRightInd/>
              <w:snapToGrid/>
              <w:spacing w:before="2" w:after="0" w:afterLines="10" w:line="360" w:lineRule="auto"/>
              <w:ind w:left="22" w:leftChars="10" w:right="57" w:firstLine="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投标人应在内乡县公共资源交易系统中下载“投标文件制作工具”，并按照招标文件要求编制和上传递交加密的电子投标文件(.tbdat</w:t>
            </w:r>
            <w:r>
              <w:rPr>
                <w:rFonts w:hint="eastAsia" w:ascii="宋体" w:hAnsi="宋体" w:eastAsia="宋体" w:cs="宋体"/>
                <w:spacing w:val="-9"/>
                <w:sz w:val="24"/>
                <w:szCs w:val="24"/>
              </w:rPr>
              <w:t xml:space="preserve"> 格式)。投标人上传时必须得到系统“上传成功” </w:t>
            </w:r>
            <w:r>
              <w:rPr>
                <w:rFonts w:hint="eastAsia" w:ascii="宋体" w:hAnsi="宋体" w:eastAsia="宋体" w:cs="宋体"/>
                <w:sz w:val="24"/>
                <w:szCs w:val="24"/>
              </w:rPr>
              <w:t>的确认回复，并认真检查电子投标文件是否完整、正确。递交</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"http://www.nxggzy.com/" \h </w:instrText>
            </w:r>
            <w:r>
              <w:rPr>
                <w:rFonts w:hint="eastAsia" w:ascii="宋体" w:hAnsi="宋体" w:eastAsia="宋体" w:cs="宋体"/>
                <w:sz w:val="24"/>
                <w:szCs w:val="24"/>
              </w:rPr>
              <w:fldChar w:fldCharType="separate"/>
            </w:r>
            <w:r>
              <w:rPr>
                <w:rFonts w:hint="eastAsia" w:ascii="宋体" w:hAnsi="宋体" w:eastAsia="宋体" w:cs="宋体"/>
                <w:sz w:val="24"/>
                <w:szCs w:val="24"/>
              </w:rPr>
              <w:t>网址： http://www.nxggzy.com</w:t>
            </w:r>
            <w:r>
              <w:rPr>
                <w:rFonts w:hint="eastAsia" w:ascii="宋体" w:hAnsi="宋体" w:eastAsia="宋体" w:cs="宋体"/>
                <w:sz w:val="24"/>
                <w:szCs w:val="24"/>
              </w:rPr>
              <w:fldChar w:fldCharType="end"/>
            </w:r>
            <w:r>
              <w:rPr>
                <w:rFonts w:hint="eastAsia" w:ascii="宋体" w:hAnsi="宋体" w:eastAsia="宋体" w:cs="宋体"/>
                <w:sz w:val="24"/>
                <w:szCs w:val="24"/>
              </w:rPr>
              <w:t>。</w:t>
            </w:r>
          </w:p>
          <w:p>
            <w:pPr>
              <w:pStyle w:val="31"/>
              <w:keepNext w:val="0"/>
              <w:keepLines w:val="0"/>
              <w:pageBreakBefore w:val="0"/>
              <w:numPr>
                <w:ilvl w:val="0"/>
                <w:numId w:val="2"/>
              </w:numPr>
              <w:tabs>
                <w:tab w:val="left" w:pos="319"/>
              </w:tabs>
              <w:kinsoku/>
              <w:wordWrap w:val="0"/>
              <w:overflowPunct/>
              <w:topLinePunct/>
              <w:autoSpaceDE/>
              <w:autoSpaceDN/>
              <w:bidi w:val="0"/>
              <w:adjustRightInd/>
              <w:snapToGrid/>
              <w:spacing w:before="2" w:after="0" w:afterLines="10" w:line="360" w:lineRule="auto"/>
              <w:ind w:left="22" w:leftChars="10" w:right="57" w:firstLine="0"/>
              <w:jc w:val="both"/>
              <w:textAlignment w:val="auto"/>
              <w:outlineLvl w:val="9"/>
              <w:rPr>
                <w:rFonts w:hint="eastAsia" w:ascii="宋体" w:hAnsi="宋体" w:eastAsia="宋体" w:cs="宋体"/>
                <w:sz w:val="24"/>
                <w:szCs w:val="24"/>
              </w:rPr>
            </w:pPr>
            <w:r>
              <w:rPr>
                <w:rFonts w:hint="eastAsia" w:ascii="宋体" w:hAnsi="宋体" w:eastAsia="宋体" w:cs="宋体"/>
                <w:spacing w:val="-1"/>
                <w:sz w:val="24"/>
                <w:szCs w:val="24"/>
              </w:rPr>
              <w:t>投标人的电子投标文件应在招标文件规定的投标截止时间前到达交易系统。逾期到达交易系统的电子投标文件视为放弃本</w:t>
            </w:r>
            <w:r>
              <w:rPr>
                <w:rFonts w:hint="eastAsia" w:ascii="宋体" w:hAnsi="宋体" w:eastAsia="宋体" w:cs="宋体"/>
                <w:sz w:val="24"/>
                <w:szCs w:val="24"/>
              </w:rPr>
              <w:t>次投标。</w:t>
            </w:r>
          </w:p>
          <w:p>
            <w:pPr>
              <w:pStyle w:val="31"/>
              <w:keepNext w:val="0"/>
              <w:keepLines w:val="0"/>
              <w:pageBreakBefore w:val="0"/>
              <w:numPr>
                <w:ilvl w:val="0"/>
                <w:numId w:val="2"/>
              </w:numPr>
              <w:tabs>
                <w:tab w:val="left" w:pos="319"/>
              </w:tabs>
              <w:kinsoku/>
              <w:wordWrap w:val="0"/>
              <w:overflowPunct/>
              <w:topLinePunct/>
              <w:autoSpaceDE/>
              <w:autoSpaceDN/>
              <w:bidi w:val="0"/>
              <w:adjustRightInd/>
              <w:snapToGrid/>
              <w:spacing w:before="2" w:after="0" w:afterLines="10" w:line="360" w:lineRule="auto"/>
              <w:ind w:left="233" w:leftChars="10" w:right="57" w:rightChars="0" w:hanging="211"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投标人所递交的电子投标文件在投标截止时间之后不予退回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4.2.3</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是否退还投标文件</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w w:val="100"/>
                <w:sz w:val="24"/>
                <w:szCs w:val="24"/>
                <w:vertAlign w:val="baseline"/>
              </w:rPr>
              <w:t>否</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5.1</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开标时间和地点</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pacing w:val="-34"/>
                <w:sz w:val="24"/>
                <w:szCs w:val="24"/>
              </w:rPr>
            </w:pPr>
            <w:r>
              <w:rPr>
                <w:rFonts w:hint="eastAsia" w:ascii="宋体" w:hAnsi="宋体" w:eastAsia="宋体" w:cs="宋体"/>
                <w:sz w:val="24"/>
                <w:szCs w:val="24"/>
              </w:rPr>
              <w:t>开标时间：2021</w:t>
            </w:r>
            <w:r>
              <w:rPr>
                <w:rFonts w:hint="eastAsia" w:ascii="宋体" w:hAnsi="宋体" w:eastAsia="宋体" w:cs="宋体"/>
                <w:spacing w:val="-36"/>
                <w:sz w:val="24"/>
                <w:szCs w:val="24"/>
              </w:rPr>
              <w:t xml:space="preserve"> 年 </w:t>
            </w:r>
            <w:r>
              <w:rPr>
                <w:rFonts w:hint="eastAsia" w:ascii="宋体" w:hAnsi="宋体" w:eastAsia="宋体" w:cs="宋体"/>
                <w:sz w:val="24"/>
                <w:szCs w:val="24"/>
                <w:lang w:val="en-US" w:eastAsia="zh-CN"/>
              </w:rPr>
              <w:t xml:space="preserve">  </w:t>
            </w:r>
            <w:r>
              <w:rPr>
                <w:rFonts w:hint="eastAsia" w:ascii="宋体" w:hAnsi="宋体" w:eastAsia="宋体" w:cs="宋体"/>
                <w:spacing w:val="-36"/>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pacing w:val="-18"/>
                <w:sz w:val="24"/>
                <w:szCs w:val="24"/>
              </w:rPr>
              <w:t xml:space="preserve"> 日 </w:t>
            </w:r>
            <w:r>
              <w:rPr>
                <w:rFonts w:hint="eastAsia" w:ascii="宋体" w:hAnsi="宋体" w:eastAsia="宋体" w:cs="宋体"/>
                <w:sz w:val="24"/>
                <w:szCs w:val="24"/>
                <w:lang w:val="en-US" w:eastAsia="zh-CN"/>
              </w:rPr>
              <w:t xml:space="preserve">  </w:t>
            </w:r>
            <w:r>
              <w:rPr>
                <w:rFonts w:hint="eastAsia" w:ascii="宋体" w:hAnsi="宋体" w:eastAsia="宋体" w:cs="宋体"/>
                <w:spacing w:val="-18"/>
                <w:sz w:val="24"/>
                <w:szCs w:val="24"/>
              </w:rPr>
              <w:t xml:space="preserve">时 </w:t>
            </w:r>
            <w:r>
              <w:rPr>
                <w:rFonts w:hint="eastAsia" w:ascii="宋体" w:hAnsi="宋体" w:eastAsia="宋体" w:cs="宋体"/>
                <w:sz w:val="24"/>
                <w:szCs w:val="24"/>
              </w:rPr>
              <w:t>00</w:t>
            </w:r>
            <w:r>
              <w:rPr>
                <w:rFonts w:hint="eastAsia" w:ascii="宋体" w:hAnsi="宋体" w:eastAsia="宋体" w:cs="宋体"/>
                <w:spacing w:val="-34"/>
                <w:sz w:val="24"/>
                <w:szCs w:val="24"/>
              </w:rPr>
              <w:t xml:space="preserve"> 分</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开标地点：内乡县公共资源交易中心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5.2</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开标程序</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1、招标人、监督代表、等相关人员进入开标现场。</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2、开标顺序：按照开标系统进行。</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3、开标结束。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6.1.1</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评标委员会的组建</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评标委员会构成：</w:t>
            </w:r>
            <w:r>
              <w:rPr>
                <w:rFonts w:hint="eastAsia" w:cs="宋体"/>
                <w:sz w:val="24"/>
                <w:szCs w:val="24"/>
                <w:u w:val="single"/>
                <w:lang w:val="en-US" w:eastAsia="zh-CN"/>
              </w:rPr>
              <w:t>7</w:t>
            </w:r>
            <w:r>
              <w:rPr>
                <w:rFonts w:hint="eastAsia" w:ascii="宋体" w:hAnsi="宋体" w:eastAsia="宋体" w:cs="宋体"/>
                <w:sz w:val="24"/>
                <w:szCs w:val="24"/>
              </w:rPr>
              <w:t xml:space="preserve"> 人</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评标专家确定方式：招标人代表</w:t>
            </w:r>
            <w:r>
              <w:rPr>
                <w:rFonts w:hint="eastAsia" w:cs="宋体"/>
                <w:sz w:val="24"/>
                <w:szCs w:val="24"/>
                <w:lang w:val="en-US" w:eastAsia="zh-CN"/>
              </w:rPr>
              <w:t>7</w:t>
            </w:r>
            <w:r>
              <w:rPr>
                <w:rFonts w:hint="eastAsia" w:ascii="宋体" w:hAnsi="宋体" w:eastAsia="宋体" w:cs="宋体"/>
                <w:sz w:val="24"/>
                <w:szCs w:val="24"/>
              </w:rPr>
              <w:t xml:space="preserve">人，从符合国家法律法规规定的相关专家库中随机抽取技术、经济等方面的专家 </w:t>
            </w:r>
            <w:r>
              <w:rPr>
                <w:rFonts w:hint="eastAsia" w:cs="宋体"/>
                <w:sz w:val="24"/>
                <w:szCs w:val="24"/>
                <w:lang w:val="en-US" w:eastAsia="zh-CN"/>
              </w:rPr>
              <w:t>5</w:t>
            </w:r>
            <w:r>
              <w:rPr>
                <w:rFonts w:hint="eastAsia" w:ascii="宋体" w:hAnsi="宋体" w:eastAsia="宋体" w:cs="宋体"/>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7.1</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是否授权评标委员会确定中标人</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□是</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否，推荐的中标候选人数：</w:t>
            </w:r>
            <w:r>
              <w:rPr>
                <w:rFonts w:hint="eastAsia" w:ascii="宋体" w:hAnsi="宋体" w:eastAsia="宋体" w:cs="宋体"/>
                <w:sz w:val="24"/>
                <w:szCs w:val="24"/>
                <w:u w:val="single"/>
              </w:rPr>
              <w:t>1-3</w:t>
            </w:r>
            <w:r>
              <w:rPr>
                <w:rFonts w:hint="eastAsia" w:ascii="宋体" w:hAnsi="宋体" w:eastAsia="宋体" w:cs="宋体"/>
                <w:spacing w:val="-27"/>
                <w:sz w:val="24"/>
                <w:szCs w:val="24"/>
                <w:u w:val="singl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right="57"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7.3.1</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履约担保</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履约担保的金额：中标金额的</w:t>
            </w:r>
            <w:r>
              <w:rPr>
                <w:rFonts w:hint="eastAsia" w:cs="宋体"/>
                <w:sz w:val="24"/>
                <w:szCs w:val="24"/>
                <w:lang w:val="en-US" w:eastAsia="zh-CN"/>
              </w:rPr>
              <w:t>8</w:t>
            </w:r>
            <w:r>
              <w:rPr>
                <w:rFonts w:hint="eastAsia" w:ascii="宋体" w:hAnsi="宋体" w:eastAsia="宋体" w:cs="宋体"/>
                <w:sz w:val="24"/>
                <w:szCs w:val="24"/>
              </w:rPr>
              <w:t>%</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履约担保的形式：现金</w:t>
            </w:r>
            <w:r>
              <w:rPr>
                <w:rFonts w:hint="eastAsia" w:cs="宋体"/>
                <w:sz w:val="24"/>
                <w:szCs w:val="24"/>
                <w:lang w:eastAsia="zh-CN"/>
              </w:rPr>
              <w:t>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tabs>
                <w:tab w:val="left" w:pos="707"/>
              </w:tabs>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tab/>
            </w:r>
            <w:r>
              <w:rPr>
                <w:rFonts w:hint="eastAsia" w:ascii="宋体" w:hAnsi="宋体" w:eastAsia="宋体" w:cs="宋体"/>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10.1.1</w:t>
            </w:r>
          </w:p>
        </w:tc>
        <w:tc>
          <w:tcPr>
            <w:tcW w:w="2242"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类似项目</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类似项目是指：</w:t>
            </w:r>
            <w:r>
              <w:rPr>
                <w:rFonts w:hint="eastAsia" w:ascii="宋体" w:hAnsi="宋体" w:eastAsia="宋体" w:cs="宋体"/>
                <w:sz w:val="24"/>
                <w:szCs w:val="24"/>
                <w:lang w:eastAsia="zh-CN"/>
              </w:rPr>
              <w:t>与本项目施工内容一致或者相似的工程。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tabs>
                <w:tab w:val="left" w:pos="737"/>
              </w:tabs>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10.2</w:t>
            </w:r>
            <w:r>
              <w:rPr>
                <w:rFonts w:hint="eastAsia" w:ascii="宋体" w:hAnsi="宋体" w:eastAsia="宋体" w:cs="宋体"/>
                <w:sz w:val="24"/>
                <w:szCs w:val="24"/>
              </w:rPr>
              <w:tab/>
            </w:r>
            <w:r>
              <w:rPr>
                <w:rFonts w:hint="eastAsia" w:ascii="宋体" w:hAnsi="宋体" w:eastAsia="宋体" w:cs="宋体"/>
                <w:sz w:val="24"/>
                <w:szCs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0" w:type="dxa"/>
            <w:gridSpan w:val="3"/>
            <w:vAlign w:val="center"/>
          </w:tcPr>
          <w:p>
            <w:pPr>
              <w:keepNext w:val="0"/>
              <w:keepLines w:val="0"/>
              <w:pageBreakBefore w:val="0"/>
              <w:widowControl/>
              <w:suppressLineNumbers w:val="0"/>
              <w:kinsoku/>
              <w:wordWrap w:val="0"/>
              <w:overflowPunct/>
              <w:topLinePunct/>
              <w:autoSpaceDE/>
              <w:autoSpaceDN/>
              <w:bidi w:val="0"/>
              <w:adjustRightInd/>
              <w:snapToGrid/>
              <w:spacing w:before="2" w:after="0" w:afterLines="10" w:line="360" w:lineRule="auto"/>
              <w:ind w:left="22" w:leftChars="10" w:right="57"/>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招标控制价</w:t>
            </w:r>
          </w:p>
        </w:tc>
        <w:tc>
          <w:tcPr>
            <w:tcW w:w="5184" w:type="dxa"/>
            <w:gridSpan w:val="2"/>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招标控制价</w:t>
            </w:r>
            <w:r>
              <w:rPr>
                <w:rFonts w:hint="eastAsia" w:cs="宋体"/>
                <w:color w:val="auto"/>
                <w:sz w:val="24"/>
                <w:szCs w:val="24"/>
                <w:lang w:val="en-US" w:eastAsia="zh-CN"/>
              </w:rPr>
              <w:t>:3566.22万元</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注：投标报价不能超过招标控制价，否则按</w:t>
            </w:r>
            <w:r>
              <w:rPr>
                <w:rFonts w:hint="eastAsia" w:cs="宋体"/>
                <w:color w:val="auto"/>
                <w:sz w:val="24"/>
                <w:szCs w:val="24"/>
                <w:lang w:eastAsia="zh-CN"/>
              </w:rPr>
              <w:t>无效</w:t>
            </w:r>
            <w:r>
              <w:rPr>
                <w:rFonts w:hint="eastAsia" w:ascii="宋体" w:hAnsi="宋体" w:eastAsia="宋体" w:cs="宋体"/>
                <w:color w:val="auto"/>
                <w:sz w:val="24"/>
                <w:szCs w:val="24"/>
              </w:rPr>
              <w:t>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tabs>
                <w:tab w:val="left" w:pos="737"/>
              </w:tabs>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10.3</w:t>
            </w:r>
            <w:r>
              <w:rPr>
                <w:rFonts w:hint="eastAsia" w:ascii="宋体" w:hAnsi="宋体" w:eastAsia="宋体" w:cs="宋体"/>
                <w:sz w:val="24"/>
                <w:szCs w:val="24"/>
              </w:rPr>
              <w:tab/>
            </w:r>
            <w:r>
              <w:rPr>
                <w:rFonts w:hint="eastAsia" w:ascii="宋体" w:hAnsi="宋体" w:eastAsia="宋体" w:cs="宋体"/>
                <w:sz w:val="24"/>
                <w:szCs w:val="24"/>
              </w:rPr>
              <w:t>“暗标”评审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p>
        </w:tc>
        <w:tc>
          <w:tcPr>
            <w:tcW w:w="2870" w:type="dxa"/>
            <w:gridSpan w:val="3"/>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施工组织设计是否采用“暗标”评审方式</w:t>
            </w:r>
          </w:p>
        </w:tc>
        <w:tc>
          <w:tcPr>
            <w:tcW w:w="4839"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0" w:leftChars="0" w:right="57" w:firstLineChars="0"/>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cs="宋体"/>
                <w:sz w:val="24"/>
                <w:szCs w:val="24"/>
                <w:lang w:val="en-US" w:eastAsia="zh-CN"/>
              </w:rPr>
              <w:t>不</w:t>
            </w:r>
            <w:r>
              <w:rPr>
                <w:rFonts w:hint="eastAsia" w:ascii="宋体" w:hAnsi="宋体" w:eastAsia="宋体" w:cs="宋体"/>
                <w:sz w:val="24"/>
                <w:szCs w:val="24"/>
              </w:rPr>
              <w:t>采用</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□采用，投标人应严格按照第</w:t>
            </w:r>
            <w:r>
              <w:rPr>
                <w:rFonts w:hint="eastAsia" w:cs="宋体"/>
                <w:sz w:val="24"/>
                <w:szCs w:val="24"/>
                <w:lang w:eastAsia="zh-CN"/>
              </w:rPr>
              <w:t>七</w:t>
            </w:r>
            <w:r>
              <w:rPr>
                <w:rFonts w:hint="eastAsia" w:ascii="宋体" w:hAnsi="宋体" w:eastAsia="宋体" w:cs="宋体"/>
                <w:sz w:val="24"/>
                <w:szCs w:val="24"/>
              </w:rPr>
              <w:t>章“投标文件格式”中“施工组织设计（技术暗标）编制及装订要求”编制和装订施工</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tabs>
                <w:tab w:val="left" w:pos="737"/>
              </w:tabs>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10.4</w:t>
            </w:r>
            <w:r>
              <w:rPr>
                <w:rFonts w:hint="eastAsia" w:ascii="宋体" w:hAnsi="宋体" w:eastAsia="宋体" w:cs="宋体"/>
                <w:sz w:val="24"/>
                <w:szCs w:val="24"/>
              </w:rPr>
              <w:tab/>
            </w:r>
            <w:r>
              <w:rPr>
                <w:rFonts w:hint="eastAsia" w:ascii="宋体" w:hAnsi="宋体" w:eastAsia="宋体" w:cs="宋体"/>
                <w:sz w:val="24"/>
                <w:szCs w:val="24"/>
              </w:rPr>
              <w:t>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p>
        </w:tc>
        <w:tc>
          <w:tcPr>
            <w:tcW w:w="2870" w:type="dxa"/>
            <w:gridSpan w:val="3"/>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是否要求投标人在递交投标文件时， 同时递交投标文件电子版</w:t>
            </w:r>
          </w:p>
        </w:tc>
        <w:tc>
          <w:tcPr>
            <w:tcW w:w="4839"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0" w:leftChars="0" w:right="57" w:firstLineChars="0"/>
              <w:textAlignment w:val="auto"/>
              <w:outlineLvl w:val="9"/>
              <w:rPr>
                <w:rFonts w:hint="eastAsia" w:ascii="宋体" w:hAnsi="宋体" w:eastAsia="宋体" w:cs="宋体"/>
                <w:sz w:val="24"/>
                <w:szCs w:val="24"/>
                <w:lang w:val="en-US" w:eastAsia="zh-CN"/>
              </w:rPr>
            </w:pPr>
            <w:r>
              <w:rPr>
                <w:rFonts w:hint="eastAsia" w:cs="宋体"/>
                <w:sz w:val="24"/>
                <w:szCs w:val="24"/>
                <w:lang w:eastAsia="zh-CN"/>
              </w:rPr>
              <w:t>☑</w:t>
            </w:r>
            <w:r>
              <w:rPr>
                <w:rFonts w:hint="eastAsia" w:cs="宋体"/>
                <w:sz w:val="24"/>
                <w:szCs w:val="24"/>
                <w:lang w:val="en-US" w:eastAsia="zh-CN"/>
              </w:rPr>
              <w:t>不要求</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tabs>
                <w:tab w:val="left" w:pos="737"/>
              </w:tabs>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10.5</w:t>
            </w:r>
            <w:r>
              <w:rPr>
                <w:rFonts w:hint="eastAsia" w:ascii="宋体" w:hAnsi="宋体" w:eastAsia="宋体" w:cs="宋体"/>
                <w:sz w:val="24"/>
                <w:szCs w:val="24"/>
              </w:rPr>
              <w:tab/>
            </w:r>
            <w:r>
              <w:rPr>
                <w:rFonts w:hint="eastAsia" w:ascii="宋体" w:hAnsi="宋体" w:eastAsia="宋体" w:cs="宋体"/>
                <w:sz w:val="24"/>
                <w:szCs w:val="24"/>
              </w:rPr>
              <w:t>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p>
        </w:tc>
        <w:tc>
          <w:tcPr>
            <w:tcW w:w="2870" w:type="dxa"/>
            <w:gridSpan w:val="3"/>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是否实行计算机辅助评标</w:t>
            </w:r>
          </w:p>
        </w:tc>
        <w:tc>
          <w:tcPr>
            <w:tcW w:w="4839"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□否</w:t>
            </w:r>
          </w:p>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cs="宋体"/>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10.6 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p>
        </w:tc>
        <w:tc>
          <w:tcPr>
            <w:tcW w:w="7709" w:type="dxa"/>
            <w:gridSpan w:val="4"/>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该项目需要使用网上远程不见面开标系统开标。各投标人根据操作手册要求，提前做好相关准备工</w:t>
            </w:r>
            <w:r>
              <w:rPr>
                <w:rFonts w:hint="eastAsia" w:ascii="宋体" w:hAnsi="宋体" w:eastAsia="宋体" w:cs="宋体"/>
                <w:spacing w:val="-1"/>
                <w:sz w:val="24"/>
                <w:szCs w:val="24"/>
              </w:rPr>
              <w:t xml:space="preserve">作，所有准备工作需自行到位，开标过程中如遇到紧急事项，可在不见面开标大厅中进行提出答疑， </w:t>
            </w:r>
            <w:r>
              <w:rPr>
                <w:rFonts w:hint="eastAsia" w:ascii="宋体" w:hAnsi="宋体" w:eastAsia="宋体" w:cs="宋体"/>
                <w:spacing w:val="-4"/>
                <w:sz w:val="24"/>
                <w:szCs w:val="24"/>
              </w:rPr>
              <w:t xml:space="preserve">严重问题可拨打现场技术支持电话 </w:t>
            </w:r>
            <w:r>
              <w:rPr>
                <w:rFonts w:hint="eastAsia" w:ascii="宋体" w:hAnsi="宋体" w:eastAsia="宋体" w:cs="宋体"/>
                <w:sz w:val="24"/>
                <w:szCs w:val="24"/>
              </w:rPr>
              <w:t>17518959397。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10.7 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p>
        </w:tc>
        <w:tc>
          <w:tcPr>
            <w:tcW w:w="7709" w:type="dxa"/>
            <w:gridSpan w:val="4"/>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在中标通知书发出前，招标人将中标候选人的情况在发布招标公告的网站予以公示，公示期 3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10.8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p>
        </w:tc>
        <w:tc>
          <w:tcPr>
            <w:tcW w:w="7709" w:type="dxa"/>
            <w:gridSpan w:val="4"/>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10.9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p>
        </w:tc>
        <w:tc>
          <w:tcPr>
            <w:tcW w:w="7709" w:type="dxa"/>
            <w:gridSpan w:val="4"/>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除投标人须知正文第 8 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10.10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p>
        </w:tc>
        <w:tc>
          <w:tcPr>
            <w:tcW w:w="7709" w:type="dxa"/>
            <w:gridSpan w:val="4"/>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rPr>
            </w:pPr>
            <w:r>
              <w:rPr>
                <w:rFonts w:hint="eastAsia" w:ascii="宋体" w:hAnsi="宋体" w:eastAsia="宋体" w:cs="宋体"/>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tabs>
                <w:tab w:val="left" w:pos="1105"/>
              </w:tabs>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10.11</w:t>
            </w:r>
            <w:r>
              <w:rPr>
                <w:rFonts w:hint="eastAsia" w:ascii="宋体" w:hAnsi="宋体" w:eastAsia="宋体" w:cs="宋体"/>
                <w:spacing w:val="-53"/>
                <w:sz w:val="24"/>
                <w:szCs w:val="24"/>
              </w:rPr>
              <w:t xml:space="preserve"> </w:t>
            </w:r>
            <w:r>
              <w:rPr>
                <w:rFonts w:hint="eastAsia" w:ascii="宋体" w:hAnsi="宋体" w:eastAsia="宋体" w:cs="宋体"/>
                <w:sz w:val="24"/>
                <w:szCs w:val="24"/>
              </w:rPr>
              <w:t>监</w:t>
            </w:r>
            <w:r>
              <w:rPr>
                <w:rFonts w:hint="eastAsia" w:ascii="宋体" w:hAnsi="宋体" w:eastAsia="宋体" w:cs="宋体"/>
                <w:sz w:val="24"/>
                <w:szCs w:val="24"/>
              </w:rPr>
              <w:tab/>
            </w:r>
            <w:r>
              <w:rPr>
                <w:rFonts w:hint="eastAsia" w:ascii="宋体" w:hAnsi="宋体" w:eastAsia="宋体" w:cs="宋体"/>
                <w:sz w:val="24"/>
                <w:szCs w:val="24"/>
              </w:rPr>
              <w:t>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p>
        </w:tc>
        <w:tc>
          <w:tcPr>
            <w:tcW w:w="7709" w:type="dxa"/>
            <w:gridSpan w:val="4"/>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widowControl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10.12 解释权</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24" w:type="dxa"/>
            <w:gridSpan w:val="5"/>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15" w:type="dxa"/>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b/>
                <w:sz w:val="24"/>
                <w:szCs w:val="24"/>
              </w:rPr>
            </w:pP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10.13.</w:t>
            </w:r>
          </w:p>
        </w:tc>
        <w:tc>
          <w:tcPr>
            <w:tcW w:w="7709" w:type="dxa"/>
            <w:gridSpan w:val="4"/>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textAlignment w:val="auto"/>
              <w:outlineLvl w:val="9"/>
              <w:rPr>
                <w:rFonts w:hint="eastAsia" w:ascii="宋体" w:hAnsi="宋体" w:eastAsia="宋体" w:cs="宋体"/>
                <w:sz w:val="24"/>
                <w:szCs w:val="24"/>
                <w:lang w:val="zh-CN" w:eastAsia="zh-CN" w:bidi="zh-CN"/>
              </w:rPr>
            </w:pPr>
            <w:r>
              <w:rPr>
                <w:rFonts w:hint="eastAsia" w:ascii="宋体" w:hAnsi="宋体" w:eastAsia="宋体" w:cs="宋体"/>
                <w:sz w:val="24"/>
                <w:szCs w:val="24"/>
              </w:rPr>
              <w:t>中标人须向招标代理</w:t>
            </w:r>
            <w:r>
              <w:rPr>
                <w:rFonts w:hint="eastAsia" w:ascii="宋体" w:hAnsi="宋体" w:eastAsia="宋体" w:cs="宋体"/>
                <w:sz w:val="24"/>
                <w:szCs w:val="24"/>
                <w:lang w:val="en-US" w:eastAsia="zh-CN"/>
              </w:rPr>
              <w:t>机构</w:t>
            </w:r>
            <w:r>
              <w:rPr>
                <w:rFonts w:hint="eastAsia" w:ascii="宋体" w:hAnsi="宋体" w:eastAsia="宋体" w:cs="宋体"/>
                <w:sz w:val="24"/>
                <w:szCs w:val="24"/>
              </w:rPr>
              <w:t>交纳招标代理服务费。招标代理服务费的收取，执行原国家计委《招标代理服务收费管理暂行办法》（计价格【2002】1980 号）和《国家发展和改革委员会办公厅关于招标代理服务费有关问题的通知》（发改办价格【2003】857 号）的规定。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注：1、按照《关于建立建筑行业农民工工资保障金制度切实解决建筑业企业拖欠农民工工资问题的通知》（豫劳社监察[2003]19 号）和《河南省人民政府办公厅关于全面治理拖欠农民工工资问题的实施意见》（豫政办[2016]121  号）要求，中标人应从其基本账户按照工程中标价的2%向建设行政主管部门缴纳农民工工资保障金，并承诺一旦出现拖欠农民工工资时可从农民工工资保障金中先于划支。</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2、中标后企业向招标人缴纳履约保证金后按照规定时间签订合同。</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3、澄清与变更：招标代理机构对已发出的招标文件进行的答疑、澄清、变更的内容将作为招标文件的组成部分。对于各项目中已经成功报名并下载招标文件的项目投标人，投标人在投标文件递交截止时间前须自行查看项目进展、变更通知、澄清及回复，因投标人未及时查看而造成的后果自负。</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4、投标中上传投标文件除投标人电子签章和法定代表人电子签名外，其他签章以上传签字或盖章的扫描件为准。</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5、该项目需要使用网上远程不见面开标系统开标。各投标人根据操作手册要求，提前做好相关准备工作，所有准备工作需自行到位，开标过程中如遇到紧急事项，可在不见面开标大厅中进行提出答疑，严重问题可拨打现场技术支持电话 17518959397。各投标人需在投标截止前登录网上不见面系统进行等候签到。</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6、网上不见面开标过程中，如投标人准备不到位，造成无法及时解密、网络问题等情况造成开标无法继续的，视为该投标人自动放弃投标（签到截止时间 30 分钟内），不再执行投标文件解密。</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7、投标人应充分了解与本工程有关的现行疫情防控法律、法规、政府防疫规定和要求，并在投标报价中充分考虑防疫措施、风险及所需费用，合同签订后该项费用和工期不再调整，但非投标单位原因导致的当地政府防疫等级升级除外。</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8、依据豫财办﹝2020﹞33 号《河南省财政厅关于印发深入推进政府采购合同融资工作实施方案的通知》参与政府采购活动的投标人，在中标成交后可以持政府采购合同向融资机构申请贷款。其告知函如下：</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河南省政府采购合同融资政策告知函</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各投标人：</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欢迎贵公司参与河南省政府采购活动！</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政府采购合同融资是河南省财政厅支持中小微企业发展，针对参与政府采购活动的投标人融资难、融资贵问题推出的一项融资政策。贵公司若成为本次政府采购项目的中标人，可持政府采购合同向金融机构申请贷款无需抵押、担保，融资机构将根据《河南省政府采购合同融资工作实施方案》（豫财购〔2017〕10 号），按照双方自愿的原则提供便捷、优惠的贷款服务。</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贷款渠道和提供贷款的金融机构，可在河南省政府采购网“河南省政府采购合同融资平台”查询联系。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4" w:type="dxa"/>
            <w:gridSpan w:val="5"/>
            <w:vAlign w:val="center"/>
          </w:tcPr>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工程量清单编制依据 </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1、河南省财政厅，河南省国土资源厅联合下发的关于印发《河南省土地开发整理项目的算定额标准的通知》（豫财综［2014]80号）：</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2、《工程勘察设计收费标准》）（计价格［2002]10号）：</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3.《河南省住房与城乡建设厅关于调增房屋建筑与市政基础设施工程施工现场扬尘污室防治费的通知（试行））（豫建设标［2016]47号）：</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4、《国土资源部办公厅关于印发土地整治工程营业税改征增值税计价依据调整过渡交展方案的通知》（国土资厅发［2017]19号）：</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5、《南阳工程造价信息》2020年第2期及市场价。</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6、《河南省建筑工程标准定额站发布2020年1-6月人工价格指数、各工种信息价、物工程量人工成本信息价的通知》（豫建标定［2020]23号）：</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7、《关于深化增值税改革有关政策的公告）（财政部税务总局海关总署公告2019年第39号），</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8.《内乡县柏树山石灰岩矿废弃矿山生态环境修复工程设计书》。</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cs="宋体"/>
                <w:sz w:val="24"/>
                <w:szCs w:val="24"/>
                <w:lang w:val="en-US" w:eastAsia="zh-CN"/>
              </w:rPr>
            </w:pPr>
            <w:r>
              <w:rPr>
                <w:rFonts w:hint="eastAsia" w:cs="宋体"/>
                <w:sz w:val="24"/>
                <w:szCs w:val="24"/>
                <w:lang w:val="en-US" w:eastAsia="zh-CN"/>
              </w:rPr>
              <w:t>取费标准</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cs="宋体"/>
                <w:sz w:val="24"/>
                <w:szCs w:val="24"/>
                <w:lang w:val="en-US" w:eastAsia="zh-CN"/>
              </w:rPr>
            </w:pPr>
            <w:r>
              <w:rPr>
                <w:rFonts w:hint="eastAsia" w:cs="宋体"/>
                <w:sz w:val="24"/>
                <w:szCs w:val="24"/>
                <w:lang w:val="en-US" w:eastAsia="zh-CN"/>
              </w:rPr>
              <w:t>人工预算单价：根据《河南省土地开发整理项目预算定额标准》（2014年），人工预算单价甲类工56.38元／工日，乙类工43.25元／工日。</w:t>
            </w:r>
          </w:p>
          <w:p>
            <w:pPr>
              <w:pStyle w:val="31"/>
              <w:keepNext w:val="0"/>
              <w:keepLines w:val="0"/>
              <w:pageBreakBefore w:val="0"/>
              <w:kinsoku/>
              <w:wordWrap w:val="0"/>
              <w:overflowPunct/>
              <w:topLinePunct/>
              <w:autoSpaceDE/>
              <w:autoSpaceDN/>
              <w:bidi w:val="0"/>
              <w:adjustRightInd/>
              <w:snapToGrid/>
              <w:spacing w:before="2" w:after="0" w:afterLines="10" w:line="360" w:lineRule="auto"/>
              <w:ind w:left="22" w:leftChars="10" w:right="57" w:rightChars="0"/>
              <w:textAlignment w:val="auto"/>
              <w:outlineLvl w:val="9"/>
              <w:rPr>
                <w:rFonts w:hint="eastAsia" w:cs="宋体"/>
                <w:sz w:val="24"/>
                <w:szCs w:val="24"/>
                <w:lang w:val="en-US" w:eastAsia="zh-CN"/>
              </w:rPr>
            </w:pPr>
            <w:r>
              <w:rPr>
                <w:rFonts w:hint="eastAsia" w:cs="宋体"/>
                <w:sz w:val="24"/>
                <w:szCs w:val="24"/>
                <w:lang w:val="en-US" w:eastAsia="zh-CN"/>
              </w:rPr>
              <w:t>材料费：材料费按照《河南省土地开发整理项目预算定额标准》（豫财综［2014]80号）中规定计算，并参照《南阳工程造价信息》（2020年第2期）中市场信息价进行，无信息价的材料按市场价计算。</w:t>
            </w:r>
          </w:p>
        </w:tc>
      </w:tr>
    </w:tbl>
    <w:p>
      <w:pPr>
        <w:pStyle w:val="11"/>
        <w:keepNext w:val="0"/>
        <w:keepLines w:val="0"/>
        <w:pageBreakBefore w:val="0"/>
        <w:widowControl w:val="0"/>
        <w:kinsoku/>
        <w:wordWrap/>
        <w:overflowPunct/>
        <w:topLinePunct w:val="0"/>
        <w:autoSpaceDE w:val="0"/>
        <w:autoSpaceDN w:val="0"/>
        <w:bidi w:val="0"/>
        <w:adjustRightInd/>
        <w:snapToGrid/>
        <w:spacing w:before="70"/>
        <w:ind w:right="109"/>
        <w:jc w:val="both"/>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175"/>
        <w:ind w:left="0" w:right="100"/>
        <w:jc w:val="right"/>
        <w:textAlignment w:val="auto"/>
        <w:outlineLvl w:val="9"/>
        <w:rPr>
          <w:rFonts w:hint="eastAsia" w:ascii="宋体" w:hAnsi="宋体" w:eastAsia="宋体" w:cs="宋体"/>
        </w:rPr>
        <w:sectPr>
          <w:footerReference r:id="rId7" w:type="default"/>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 ．总则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1.1 项目概况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1.1.1 根据</w:t>
      </w:r>
      <w:r>
        <w:rPr>
          <w:rFonts w:hint="eastAsia" w:cs="宋体"/>
          <w:color w:val="000000"/>
          <w:kern w:val="0"/>
          <w:sz w:val="24"/>
          <w:szCs w:val="24"/>
          <w:lang w:val="en-US" w:eastAsia="zh-CN" w:bidi="ar"/>
        </w:rPr>
        <w:t>《中华人民共和国招标投标法》、《中华人民共和国政府采购法》</w:t>
      </w:r>
      <w:r>
        <w:rPr>
          <w:rFonts w:hint="eastAsia" w:ascii="宋体" w:hAnsi="宋体" w:eastAsia="宋体" w:cs="宋体"/>
          <w:color w:val="000000"/>
          <w:kern w:val="0"/>
          <w:sz w:val="24"/>
          <w:szCs w:val="24"/>
          <w:lang w:val="en-US" w:eastAsia="zh-CN" w:bidi="ar"/>
        </w:rPr>
        <w:t xml:space="preserve">等有关法律、法规和规章的规定，本招标项目己具备招标条件，现对本标段施工进行招标。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1.1.2 本招标项目招标人：见投标人须知前附表。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1.1.3 本标段招标代理机构：见投标人须知前附表。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1.1.4 本招标项目名称：见投标人须知前附表。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1.1.5 本标段建设地点：见投标人须知前附表。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1.2 资金来源和落实情况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1.2.1 本招标项目的资金来源：见投标人须知前附表。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1.2.2 本招标项目的出资比例：见投标人须知前附表。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1.2.3 本招标项目的资金落实情况：见投标人须知前附表。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1.3 招标范围、计划工期和质量要求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1.3.1 本次招标范围：见投标人须知前附表。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1.3.2 本标段的计划工期：见投标人须知前附表。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1.3.3 本标段的质量要求：见投标人须知前附表。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1.4 投标人资格要求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1.4.1 投标人应具备承担本标段施工的资质条件、能力和信誉。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(l）资质条件：见投标人须知前附表；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(2）财务要求：见投标人须知前附表；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(3）业绩要求：见投标人须知前附表；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(4）信誉要求：见投标人须知前附表；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(5）项目经理资格：见投标人须知前附表；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(6）其他要求：见投标人须知前附表。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1.4.2 投标人须知前附表规定接受联合体投标的，除应符合本章第 1.4.1 项和投标人须知前附表的要求外，还应遵守以下规定：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(1）联合体各方应按招标文件提供的格式签订联合体协议书，明确联合体牵头人和各方权利义务；</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(2）由同一专业的单位组成的联合体，按照资质等级较低的单位确定资质等级；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(3）联合体各方不得再以自己名义单独或参加其他联合体在同一标段中投标。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1.4.3 投标人不得存在下列情形之一：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(l）为招标人不具有独立法人资格的附属机构（单位）；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(2）为本标段前期准备提供设计或咨询服务的，但设计施工总承包的除外；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(3）为本标段的监理人；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(4）为本标段的代建人；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(5）为本标段提供招标代理服务的；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(6）与本标段的监理人或代建人或招标代理机构同为一个法定代表人的；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(7）与本标段的监理人或代建人或招标代理机构相互控股或参股的；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(8）与本标段的监理人或代建人或招标代理机构相互任职或工作的；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(9）被责令停业的；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(10）被暂停或取消投标资格的；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(11）财产被接管或冻结的；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(12）在最近三年内有骗取中标或严重违约或重大工程质量问题的。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1.5 费用承担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投标人准备和参加投标活动发生的费用自理。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1.6 保密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参与招标投标活动的各方应对招标文件和投标文件中的商业和技术等秘密保密，违者应对由此造成的后果承担法律责任。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1.7 语言文字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除专用术语外，与招标投标有关的语言均使用中文。必要时专用术语应附有中文注释。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1.8 计量单位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所有计量均采用中华人民共和国法定计量单位。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1.9 踏勘现场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1.9.1 投标人须知前附表规定组织踏勘现场的，招标人按投标人须知前附表规定的时间、地点组织投标人踏勘项目现场。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1.9.2 投标人踏勘现场发生的费用自理。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1.9.3 除招标人的原因外，投标人自行负责在踏勘现场中所发生的人员伤亡和财产损失。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1.9.4 招标人在踏勘现场中介绍的工程场地和相关的周边环境情况，供投标人在编制投标文件时参考，招标人不对投标人据此作出的判断和决策负责。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1.10 投标预备会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1.10.1 投标人须知前附表规定召开投标预备会的，招标人按投标人须知前附表规定的时间和地点召开投标预备会，澄清投标人提出的问题。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1.10.2 投标人应在投标人须知前附表规定的时间前，以书面形式将提出的问题送达招标人，以便招标人在会议期间澄清。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1.10.3 投标预备会后，招标人在投标人须知前附表规定的时间内，将对投标人所提问颗的澄清，以书面方式通知所有购买招标文件的投标人。该澄清内容为招标文件的组成部分。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1.11 分包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投标人拟在中标后将中标项目的部分非主体、非关键性工作进行分包的，应符合投标人须知前附表规定的分包内容、分包金额和接受分包的第三人资质要求等限制性条件。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1.12 偏离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投标人须知前附表允许投标文件偏离招标文件某些要求的，偏离应当符合招标文件规定的偏离范围和幅度。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2．招标文件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2.1 招标文件的组成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本招标文件包括：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(1）招标公告；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(2）投标人须知；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(3）评标办法；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(4）合同条款及格式；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(5）工程量清单；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(6）技术标准和要求；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cs="宋体"/>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）投标文件格式；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）投标人须知前附表规定的其他材料。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根据本章第 1.10 款、第 2.2 款和第 2.3 款对招标文件所作的澄清、修改，构成招标文件的组成部分。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2.2 招标文件的澄清和修改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2.2.2 投标人须及时浏览相关网站获取有关澄清、变更公告，澄清、变更公告一经发布即视为投标人确认收到。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3．投标文件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3.1 投标文件的组成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3.1.1 投标文件应包括下列内容：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(l）投标函及投标函附录；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(2）法定代表人身份证明或附有法定代表人身份证明的授权委托书；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(3）投标保证金；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(4）已标价工程量清单；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(5）施工组织设计；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(6）项目管理机构；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(7）资格审查资料；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）投标人须知前附表规定的其他材料。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auto"/>
          <w:sz w:val="24"/>
          <w:szCs w:val="24"/>
        </w:rPr>
      </w:pPr>
      <w:r>
        <w:rPr>
          <w:rFonts w:hint="eastAsia" w:ascii="宋体" w:hAnsi="宋体" w:eastAsia="宋体" w:cs="宋体"/>
          <w:b/>
          <w:color w:val="auto"/>
          <w:kern w:val="0"/>
          <w:sz w:val="24"/>
          <w:szCs w:val="24"/>
          <w:lang w:val="en-US" w:eastAsia="zh-CN" w:bidi="ar"/>
        </w:rPr>
        <w:t xml:space="preserve">3.2 投标报价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3.2.1 投标人应按第五章“工程量清单”的要求填写相应表格。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3.2.2 投标人在投标截止时间前修改投标函中的投标总报价，应同时修改第五章“工程量清单”中的相应报价。此修改须符合本章第 4.3 款的有关要求。</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default" w:ascii="宋体" w:hAnsi="宋体" w:eastAsia="宋体" w:cs="宋体"/>
          <w:b w:val="0"/>
          <w:bCs/>
          <w:color w:val="auto"/>
          <w:kern w:val="0"/>
          <w:sz w:val="24"/>
          <w:szCs w:val="24"/>
          <w:lang w:val="en-US" w:eastAsia="zh-CN" w:bidi="ar"/>
        </w:rPr>
      </w:pPr>
      <w:r>
        <w:rPr>
          <w:rFonts w:hint="eastAsia" w:cs="宋体"/>
          <w:b w:val="0"/>
          <w:bCs/>
          <w:color w:val="auto"/>
          <w:kern w:val="0"/>
          <w:sz w:val="24"/>
          <w:szCs w:val="24"/>
          <w:lang w:val="en-US" w:eastAsia="zh-CN" w:bidi="ar"/>
        </w:rPr>
        <w:t>3.2.3投标人应充分了解施工场地的位置、周边环境、道路、装卸、保管、安装限制以及影响投标报价的其他要素。投标人根据投标设计，结合市场情况进行投标报价。</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3.3 投标有效期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3.3.1 在投标人须知前附表规定的投标有效期内，投标人不得要求撤销或修改其投标文件。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3.4 投标保证金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3.4.1 投标人在递交投标文件的同时，应按投标人须知前附表规定的金额、担保形式和第</w:t>
      </w:r>
      <w:r>
        <w:rPr>
          <w:rFonts w:hint="eastAsia" w:cs="宋体"/>
          <w:color w:val="000000"/>
          <w:kern w:val="0"/>
          <w:sz w:val="24"/>
          <w:szCs w:val="24"/>
          <w:lang w:val="en-US" w:eastAsia="zh-CN" w:bidi="ar"/>
        </w:rPr>
        <w:t>七</w:t>
      </w:r>
      <w:r>
        <w:rPr>
          <w:rFonts w:hint="eastAsia" w:ascii="宋体" w:hAnsi="宋体" w:eastAsia="宋体" w:cs="宋体"/>
          <w:color w:val="000000"/>
          <w:kern w:val="0"/>
          <w:sz w:val="24"/>
          <w:szCs w:val="24"/>
          <w:lang w:val="en-US" w:eastAsia="zh-CN" w:bidi="ar"/>
        </w:rPr>
        <w:t xml:space="preserve">章“投标文件格式”规定的投标保证金格式递交投标保证金，并作为其投标文件的组成部分。联合体投标的，其投标保证金由牵头人递交，并应符合投标人须知前附表的规定。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3.4.2 投标人不按本章第 3.4.1 项要求提交投标保证金的，其投标文件作废标处理。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3.4.3 招标人与中标人签订合同后 5 日内，向中标人退还投标保证金。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3.4.4 有下列情形之一的，投标保证金将不予退还：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(1）投标人在规定的投标有效期内撤销或修改其投标文件；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(2）中标人在收到中标通知书后，无正当理由拒签合同协议书或未按招标文件规定提交履约担保。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3.5 资格审查资料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按招标文件要求。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3.6 备选投标方案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3.7 投标文件的编制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3.7.1 投标文件应按第</w:t>
      </w:r>
      <w:r>
        <w:rPr>
          <w:rFonts w:hint="eastAsia" w:cs="宋体"/>
          <w:color w:val="000000"/>
          <w:kern w:val="0"/>
          <w:sz w:val="24"/>
          <w:szCs w:val="24"/>
          <w:lang w:val="en-US" w:eastAsia="zh-CN" w:bidi="ar"/>
        </w:rPr>
        <w:t>七</w:t>
      </w:r>
      <w:r>
        <w:rPr>
          <w:rFonts w:hint="eastAsia" w:ascii="宋体" w:hAnsi="宋体" w:eastAsia="宋体" w:cs="宋体"/>
          <w:color w:val="000000"/>
          <w:kern w:val="0"/>
          <w:sz w:val="24"/>
          <w:szCs w:val="24"/>
          <w:lang w:val="en-US" w:eastAsia="zh-CN" w:bidi="ar"/>
        </w:rPr>
        <w:t xml:space="preserve">章“投标文件格式”进行编写，如有必要，可以增加附页，作为投标文件的组成部分。其中，投标函附录在满足招标文件实质性要求的基础上，可以提出比招标文件要求更有利于招标人的承诺。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3.7.2 投标文件应当对招标文件有关工期、投标有效期、质量要求、技术标准和要求、招标范围等实质性内容作出响应。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3.7.3 投标文件纸质版（如要求）应用不褪色的材料书写或打印，已标价的工程量清单应加盖投标人电子签章；签字或盖章的具体要求见投标人须知前附表。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3.7.4 纸质投标文件份数见投标人须知前附表。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3.7.5 纸质投标文件具体装订要求见投标人须知前附表规定。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4．投标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4.1 投标文件的密封和标记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4.1.1 纸质投标文件（如有）的密封在一起，加贴封条，并在封套的封口处加盖投标人单位章。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4.1.2 投标文件的封套上应清楚地标记“投标文件纸质版”、“电子版”等字样，封套上应写明的其他内容见投标人须知前附表。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4.1.3 未按本章第 4.1.1 项或第 4.1.2 项要求密封和加写标记的投标文件，招标人不予受理。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4.2 投标文件的递交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4.2.1 投标人应在本章第 2.2.2 项规定的投标截止时间前递交投标文件。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4.2.2 投标人递交投标文件的地点：见投标人须知前附表。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4.2.3 除投标人须知前附表另有规定外，投标人所递交的投标文件不予退还。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4.2.4 招标人收到投标文件后，向投标人出具签收凭证。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4.2.5 逾期送达的或者未送达指定地点的投标文件，招标人不予受理。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4.3 投标文件的修改与撤回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4.3.1 在本章第 2.2.2 项规定的投标截止时间前，投标人可以修改或撤回已递交的投标文件，但应以书面形式通知招标人。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4.3.2 投标人修改或撤回已递交投标文件的书面通知应按照本章第3.7.3项的要求签字或盖章。招标人收到书面通知后，向投标人出具签收凭证。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4.3.3 修改的内容为投标文件的组成部分。修改的投标文件应按照本章第3条、第4条规定进行编制、密封、标记和递交，并标明“修改”字样。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5．开标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5.1 开标时间和地点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招标人在本章第 2.2.2 项规定的投标截止时间（开标时间）和投标人须知前附表规定的地点公开开标，所有投标人的法定代表人或其委托代理人应准时参加。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5.2 开标程序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主持人按下列程序进行开标：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6．评标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6.1 评标委员会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6.1.2 评标委员会成员有下列情形之一的，应当回避：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(1）招标人或投标人的主要负责人的近亲属；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(2）本项目主管部门或者行政监督部门的人员；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(3）与投标人有经济利益关系，可能影响对投标公正评审的；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(4）曾因在招标、评标以及其他与招标投标有关活动中从事违法行为而受过行政处罚或刑事处罚的。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6.2 评标原则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评标活动遵循公平、公正、科学和择优的原则。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6.3 评标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评标委员会按照第三章“评标办法”规定的方法、评审因素、标准和程序对投标文件进行评审。第三章“评标办法”没有规定的方法、评审因素和标准，不作为评标依据。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7．合同授予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7.1 定标方式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除投标人须知前附表规定评标委员会直接确定中标人外，招标人依据评标委员会推荐的中标候选人确定中标人，评标委员会推荐中标候选人的人数见投标人须知前附表。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7.2 中标通知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在本章第 3.3 款规定的投标有效期内，招标人以书面形式向中标人发出中标通知书，同时将中标结果通知未中标的投标人。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7.3 履约担保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7.3.2 中标人不能按本章第 7.3.1 项要求提交履约担保的，视为放弃中标，其投标保证金不予退还，给招标人造成的损失超过投标保证金数额的，中标人还应当对超过部分予以赔偿。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7.4 签订合同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7.4.1 招标人和中标人应当自中标通知书发出之日起 30 天内，根据招标文件和中标人的投标文件订立书面合同。中标人无正当理由拒签合同的，招标人取消其中标资格，其投标保证金不予退还；给招标人造成的损失超过投标保证金数额</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的，中标人还应当对超过部分予以赔偿。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7.4.2 发出中标通知书后，招标人无正当理由拒签合同的，招标人向中标人退还投标保证金；给中标人造成损失的，还应当赔偿损失。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8．重新招标和不再招标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8.1 重新招标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有下列情形之一的，招标人将重新招标：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(l）投标截止时间止，投标人少于 3 个的；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(2）经评标委员会评审后否决所有投标的。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8.2 不再招标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重新招标后投标人仍少于 3 个或者所有投标被否决的，属于必须审批或核准的工程建设项目，经原审批或核准部门批准后不再进行招标。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9．纪律和监督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9.1 对招标人的纪律要求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招标人不得泄漏招标投标活动中应当保密的情况和资料，不得与投标人串通损害国家利益、社会公共利益或者他人合法权益。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9.2 对投标人的纪律要求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投标人不得相互串通投标或者与招标人串通投标，不得向招标人或者评标委员会成员行贿谋取中标，不得以他人名义投标或者以其他方式弄虚作假骗取中标；投标人不得以任何方式干扰、影响评标工作。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9.3 对评标委员会成员的纪律要求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9.4 对与评标活动有关的工作人员的纪律要求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行。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9.5 投诉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投标人和其他利害关系人认为本次招标活动违反法律、法规和规章规定的，有权向有关行政监督部门投诉。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10、需要补充的其他内容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rPr>
      </w:pPr>
      <w:r>
        <w:rPr>
          <w:rFonts w:hint="eastAsia" w:ascii="宋体" w:hAnsi="宋体" w:eastAsia="宋体" w:cs="宋体"/>
          <w:color w:val="000000"/>
          <w:kern w:val="0"/>
          <w:sz w:val="24"/>
          <w:szCs w:val="24"/>
          <w:lang w:val="en-US" w:eastAsia="zh-CN" w:bidi="ar"/>
        </w:rPr>
        <w:t>需要补充的其他内容：见投标人须知前附表。</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kinsoku/>
        <w:overflowPunct/>
        <w:bidi w:val="0"/>
        <w:snapToGrid/>
        <w:jc w:val="left"/>
        <w:outlineLvl w:val="9"/>
        <w:rPr>
          <w:rFonts w:hint="eastAsia" w:ascii="宋体" w:hAnsi="宋体" w:eastAsia="宋体" w:cs="宋体"/>
          <w:color w:val="000000"/>
          <w:kern w:val="0"/>
          <w:sz w:val="24"/>
          <w:szCs w:val="24"/>
          <w:lang w:val="en-US" w:eastAsia="zh-CN" w:bidi="ar"/>
        </w:rPr>
      </w:pPr>
    </w:p>
    <w:p>
      <w:p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br w:type="page"/>
      </w:r>
    </w:p>
    <w:p>
      <w:pPr>
        <w:keepNext w:val="0"/>
        <w:keepLines w:val="0"/>
        <w:widowControl/>
        <w:suppressLineNumbers w:val="0"/>
        <w:kinsoku/>
        <w:overflowPunct/>
        <w:bidi w:val="0"/>
        <w:snapToGrid/>
        <w:jc w:val="left"/>
        <w:outlineLvl w:val="9"/>
        <w:rPr>
          <w:rFonts w:hint="eastAsia" w:ascii="宋体" w:hAnsi="宋体" w:eastAsia="宋体" w:cs="宋体"/>
        </w:rPr>
      </w:pPr>
      <w:r>
        <w:rPr>
          <w:rFonts w:hint="eastAsia" w:ascii="宋体" w:hAnsi="宋体" w:eastAsia="宋体" w:cs="宋体"/>
          <w:color w:val="000000"/>
          <w:kern w:val="0"/>
          <w:sz w:val="24"/>
          <w:szCs w:val="24"/>
          <w:lang w:val="en-US" w:eastAsia="zh-CN" w:bidi="ar"/>
        </w:rPr>
        <w:t xml:space="preserve">附表一：开标记录表 </w:t>
      </w:r>
    </w:p>
    <w:p>
      <w:pPr>
        <w:keepNext w:val="0"/>
        <w:keepLines w:val="0"/>
        <w:widowControl/>
        <w:suppressLineNumbers w:val="0"/>
        <w:kinsoku/>
        <w:overflowPunct/>
        <w:bidi w:val="0"/>
        <w:snapToGrid/>
        <w:jc w:val="center"/>
        <w:outlineLvl w:val="9"/>
        <w:rPr>
          <w:rFonts w:hint="eastAsia" w:ascii="宋体" w:hAnsi="宋体" w:eastAsia="宋体" w:cs="宋体"/>
        </w:rPr>
      </w:pPr>
      <w:r>
        <w:rPr>
          <w:rFonts w:hint="eastAsia" w:ascii="宋体" w:hAnsi="宋体" w:eastAsia="宋体" w:cs="宋体"/>
          <w:color w:val="000000"/>
          <w:kern w:val="0"/>
          <w:sz w:val="28"/>
          <w:szCs w:val="28"/>
          <w:lang w:val="en-US" w:eastAsia="zh-CN" w:bidi="ar"/>
        </w:rPr>
        <w:t>（项目名称） 标段施工开标记录表</w:t>
      </w:r>
    </w:p>
    <w:p>
      <w:pPr>
        <w:keepNext w:val="0"/>
        <w:keepLines w:val="0"/>
        <w:widowControl/>
        <w:suppressLineNumbers w:val="0"/>
        <w:kinsoku/>
        <w:overflowPunct/>
        <w:bidi w:val="0"/>
        <w:snapToGrid/>
        <w:jc w:val="left"/>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开标时间： 年 月 日 时 分 </w:t>
      </w:r>
    </w:p>
    <w:p>
      <w:pPr>
        <w:keepNext w:val="0"/>
        <w:keepLines w:val="0"/>
        <w:widowControl/>
        <w:suppressLineNumbers w:val="0"/>
        <w:kinsoku/>
        <w:overflowPunct/>
        <w:bidi w:val="0"/>
        <w:snapToGrid/>
        <w:jc w:val="left"/>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开标地点： </w:t>
      </w:r>
    </w:p>
    <w:p>
      <w:pPr>
        <w:keepNext w:val="0"/>
        <w:keepLines w:val="0"/>
        <w:widowControl/>
        <w:suppressLineNumbers w:val="0"/>
        <w:kinsoku/>
        <w:overflowPunct/>
        <w:bidi w:val="0"/>
        <w:snapToGrid/>
        <w:jc w:val="center"/>
        <w:outlineLvl w:val="9"/>
        <w:rPr>
          <w:rFonts w:hint="eastAsia" w:ascii="宋体" w:hAnsi="宋体" w:eastAsia="宋体" w:cs="宋体"/>
        </w:rPr>
      </w:pPr>
      <w:r>
        <w:rPr>
          <w:rFonts w:hint="eastAsia" w:ascii="宋体" w:hAnsi="宋体" w:eastAsia="宋体" w:cs="宋体"/>
          <w:color w:val="000000"/>
          <w:kern w:val="0"/>
          <w:sz w:val="24"/>
          <w:szCs w:val="24"/>
          <w:lang w:val="en-US" w:eastAsia="zh-CN" w:bidi="ar"/>
        </w:rPr>
        <w:t>（一）唱标记录</w:t>
      </w:r>
    </w:p>
    <w:p>
      <w:pPr>
        <w:keepNext w:val="0"/>
        <w:keepLines w:val="0"/>
        <w:pageBreakBefore w:val="0"/>
        <w:widowControl w:val="0"/>
        <w:kinsoku/>
        <w:wordWrap/>
        <w:overflowPunct/>
        <w:topLinePunct w:val="0"/>
        <w:autoSpaceDE w:val="0"/>
        <w:autoSpaceDN w:val="0"/>
        <w:bidi w:val="0"/>
        <w:adjustRightInd/>
        <w:snapToGrid/>
        <w:spacing w:after="0"/>
        <w:textAlignment w:val="auto"/>
        <w:outlineLvl w:val="9"/>
        <w:rPr>
          <w:rFonts w:hint="eastAsia" w:ascii="宋体" w:hAnsi="宋体" w:eastAsia="宋体" w:cs="宋体"/>
        </w:rPr>
      </w:pPr>
    </w:p>
    <w:tbl>
      <w:tblPr>
        <w:tblStyle w:val="18"/>
        <w:tblW w:w="86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6"/>
        <w:gridCol w:w="922"/>
        <w:gridCol w:w="1078"/>
        <w:gridCol w:w="1262"/>
        <w:gridCol w:w="1390"/>
        <w:gridCol w:w="1105"/>
        <w:gridCol w:w="748"/>
        <w:gridCol w:w="750"/>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spacing w:before="179"/>
              <w:ind w:left="122"/>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spacing w:before="179"/>
              <w:ind w:left="145"/>
              <w:textAlignment w:val="auto"/>
              <w:outlineLvl w:val="9"/>
              <w:rPr>
                <w:rFonts w:hint="eastAsia" w:ascii="宋体" w:hAnsi="宋体" w:eastAsia="宋体" w:cs="宋体"/>
                <w:sz w:val="24"/>
                <w:szCs w:val="24"/>
              </w:rPr>
            </w:pPr>
            <w:r>
              <w:rPr>
                <w:rFonts w:hint="eastAsia" w:ascii="宋体" w:hAnsi="宋体" w:eastAsia="宋体" w:cs="宋体"/>
                <w:sz w:val="24"/>
                <w:szCs w:val="24"/>
              </w:rPr>
              <w:t>投标人</w:t>
            </w: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spacing w:before="179"/>
              <w:ind w:left="119"/>
              <w:textAlignment w:val="auto"/>
              <w:outlineLvl w:val="9"/>
              <w:rPr>
                <w:rFonts w:hint="eastAsia" w:ascii="宋体" w:hAnsi="宋体" w:eastAsia="宋体" w:cs="宋体"/>
                <w:sz w:val="24"/>
                <w:szCs w:val="24"/>
              </w:rPr>
            </w:pPr>
            <w:r>
              <w:rPr>
                <w:rFonts w:hint="eastAsia" w:ascii="宋体" w:hAnsi="宋体" w:eastAsia="宋体" w:cs="宋体"/>
                <w:sz w:val="24"/>
                <w:szCs w:val="24"/>
              </w:rPr>
              <w:t>密封情况</w:t>
            </w: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spacing w:before="179"/>
              <w:ind w:left="106"/>
              <w:textAlignment w:val="auto"/>
              <w:outlineLvl w:val="9"/>
              <w:rPr>
                <w:rFonts w:hint="eastAsia" w:ascii="宋体" w:hAnsi="宋体" w:eastAsia="宋体" w:cs="宋体"/>
                <w:sz w:val="24"/>
                <w:szCs w:val="24"/>
              </w:rPr>
            </w:pPr>
            <w:r>
              <w:rPr>
                <w:rFonts w:hint="eastAsia" w:ascii="宋体" w:hAnsi="宋体" w:eastAsia="宋体" w:cs="宋体"/>
                <w:sz w:val="24"/>
                <w:szCs w:val="24"/>
              </w:rPr>
              <w:t>投标保证金</w:t>
            </w: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spacing w:before="23"/>
              <w:ind w:left="27"/>
              <w:textAlignment w:val="auto"/>
              <w:outlineLvl w:val="9"/>
              <w:rPr>
                <w:rFonts w:hint="eastAsia" w:ascii="宋体" w:hAnsi="宋体" w:eastAsia="宋体" w:cs="宋体"/>
                <w:sz w:val="24"/>
                <w:szCs w:val="24"/>
              </w:rPr>
            </w:pPr>
            <w:r>
              <w:rPr>
                <w:rFonts w:hint="eastAsia" w:ascii="宋体" w:hAnsi="宋体" w:eastAsia="宋体" w:cs="宋体"/>
                <w:sz w:val="24"/>
                <w:szCs w:val="24"/>
              </w:rPr>
              <w:t>投标报价（元</w:t>
            </w: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spacing w:before="23" w:line="213" w:lineRule="exact"/>
              <w:ind w:left="-103"/>
              <w:textAlignment w:val="auto"/>
              <w:outlineLvl w:val="9"/>
              <w:rPr>
                <w:rFonts w:hint="eastAsia" w:ascii="宋体" w:hAnsi="宋体" w:eastAsia="宋体" w:cs="宋体"/>
                <w:sz w:val="24"/>
                <w:szCs w:val="24"/>
              </w:rPr>
            </w:pPr>
            <w:r>
              <w:rPr>
                <w:rFonts w:hint="eastAsia" w:ascii="宋体" w:hAnsi="宋体" w:eastAsia="宋体" w:cs="宋体"/>
                <w:sz w:val="24"/>
                <w:szCs w:val="24"/>
              </w:rPr>
              <w:t>）</w:t>
            </w:r>
          </w:p>
          <w:p>
            <w:pPr>
              <w:pStyle w:val="31"/>
              <w:keepNext w:val="0"/>
              <w:keepLines w:val="0"/>
              <w:pageBreakBefore w:val="0"/>
              <w:widowControl w:val="0"/>
              <w:kinsoku/>
              <w:wordWrap/>
              <w:overflowPunct/>
              <w:topLinePunct w:val="0"/>
              <w:autoSpaceDE w:val="0"/>
              <w:autoSpaceDN w:val="0"/>
              <w:bidi w:val="0"/>
              <w:adjustRightInd/>
              <w:snapToGrid/>
              <w:spacing w:line="213" w:lineRule="exact"/>
              <w:ind w:left="132"/>
              <w:textAlignment w:val="auto"/>
              <w:outlineLvl w:val="9"/>
              <w:rPr>
                <w:rFonts w:hint="eastAsia" w:ascii="宋体" w:hAnsi="宋体" w:eastAsia="宋体" w:cs="宋体"/>
                <w:sz w:val="24"/>
                <w:szCs w:val="24"/>
              </w:rPr>
            </w:pPr>
            <w:r>
              <w:rPr>
                <w:rFonts w:hint="eastAsia" w:ascii="宋体" w:hAnsi="宋体" w:eastAsia="宋体" w:cs="宋体"/>
                <w:sz w:val="24"/>
                <w:szCs w:val="24"/>
              </w:rPr>
              <w:t>质量目标</w:t>
            </w: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spacing w:before="179"/>
              <w:ind w:left="163"/>
              <w:textAlignment w:val="auto"/>
              <w:outlineLvl w:val="9"/>
              <w:rPr>
                <w:rFonts w:hint="eastAsia" w:ascii="宋体" w:hAnsi="宋体" w:eastAsia="宋体" w:cs="宋体"/>
                <w:sz w:val="24"/>
                <w:szCs w:val="24"/>
              </w:rPr>
            </w:pPr>
            <w:r>
              <w:rPr>
                <w:rFonts w:hint="eastAsia" w:ascii="宋体" w:hAnsi="宋体" w:eastAsia="宋体" w:cs="宋体"/>
                <w:sz w:val="24"/>
                <w:szCs w:val="24"/>
              </w:rPr>
              <w:t>工期</w:t>
            </w: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spacing w:before="179"/>
              <w:ind w:left="164"/>
              <w:textAlignment w:val="auto"/>
              <w:outlineLvl w:val="9"/>
              <w:rPr>
                <w:rFonts w:hint="eastAsia" w:ascii="宋体" w:hAnsi="宋体" w:eastAsia="宋体" w:cs="宋体"/>
                <w:sz w:val="24"/>
                <w:szCs w:val="24"/>
              </w:rPr>
            </w:pPr>
            <w:r>
              <w:rPr>
                <w:rFonts w:hint="eastAsia" w:ascii="宋体" w:hAnsi="宋体" w:eastAsia="宋体" w:cs="宋体"/>
                <w:sz w:val="24"/>
                <w:szCs w:val="24"/>
              </w:rPr>
              <w:t>备注</w:t>
            </w: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spacing w:before="179"/>
              <w:ind w:left="164"/>
              <w:textAlignment w:val="auto"/>
              <w:outlineLvl w:val="9"/>
              <w:rPr>
                <w:rFonts w:hint="eastAsia" w:ascii="宋体" w:hAnsi="宋体" w:eastAsia="宋体" w:cs="宋体"/>
                <w:sz w:val="24"/>
                <w:szCs w:val="24"/>
              </w:rPr>
            </w:pPr>
            <w:r>
              <w:rPr>
                <w:rFonts w:hint="eastAsia" w:ascii="宋体" w:hAnsi="宋体" w:eastAsia="宋体" w:cs="宋体"/>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66"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92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07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262"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39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1105"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48"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c>
          <w:tcPr>
            <w:tcW w:w="750" w:type="dxa"/>
            <w:vAlign w:val="center"/>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2666" w:type="dxa"/>
            <w:gridSpan w:val="3"/>
            <w:vAlign w:val="center"/>
          </w:tcPr>
          <w:p>
            <w:pPr>
              <w:pStyle w:val="31"/>
              <w:keepNext w:val="0"/>
              <w:keepLines w:val="0"/>
              <w:pageBreakBefore w:val="0"/>
              <w:widowControl w:val="0"/>
              <w:kinsoku/>
              <w:wordWrap/>
              <w:overflowPunct/>
              <w:topLinePunct w:val="0"/>
              <w:autoSpaceDE w:val="0"/>
              <w:autoSpaceDN w:val="0"/>
              <w:bidi w:val="0"/>
              <w:adjustRightInd/>
              <w:snapToGrid/>
              <w:spacing w:before="110"/>
              <w:ind w:left="27"/>
              <w:textAlignment w:val="auto"/>
              <w:outlineLvl w:val="9"/>
              <w:rPr>
                <w:rFonts w:hint="eastAsia" w:ascii="宋体" w:hAnsi="宋体" w:eastAsia="宋体" w:cs="宋体"/>
                <w:sz w:val="24"/>
                <w:szCs w:val="24"/>
              </w:rPr>
            </w:pPr>
            <w:r>
              <w:rPr>
                <w:rFonts w:hint="eastAsia" w:ascii="宋体" w:hAnsi="宋体" w:eastAsia="宋体" w:cs="宋体"/>
                <w:sz w:val="24"/>
                <w:szCs w:val="24"/>
              </w:rPr>
              <w:t>招标人编制的标底（如果有</w:t>
            </w:r>
          </w:p>
        </w:tc>
        <w:tc>
          <w:tcPr>
            <w:tcW w:w="6005" w:type="dxa"/>
            <w:gridSpan w:val="6"/>
            <w:vAlign w:val="center"/>
          </w:tcPr>
          <w:p>
            <w:pPr>
              <w:pStyle w:val="31"/>
              <w:keepNext w:val="0"/>
              <w:keepLines w:val="0"/>
              <w:pageBreakBefore w:val="0"/>
              <w:widowControl w:val="0"/>
              <w:kinsoku/>
              <w:wordWrap/>
              <w:overflowPunct/>
              <w:topLinePunct w:val="0"/>
              <w:autoSpaceDE w:val="0"/>
              <w:autoSpaceDN w:val="0"/>
              <w:bidi w:val="0"/>
              <w:adjustRightInd/>
              <w:snapToGrid/>
              <w:spacing w:before="110"/>
              <w:ind w:left="-118"/>
              <w:textAlignment w:val="auto"/>
              <w:outlineLvl w:val="9"/>
              <w:rPr>
                <w:rFonts w:hint="eastAsia" w:ascii="宋体" w:hAnsi="宋体" w:eastAsia="宋体" w:cs="宋体"/>
                <w:sz w:val="24"/>
                <w:szCs w:val="24"/>
              </w:rPr>
            </w:pPr>
            <w:r>
              <w:rPr>
                <w:rFonts w:hint="eastAsia" w:ascii="宋体" w:hAnsi="宋体" w:eastAsia="宋体" w:cs="宋体"/>
                <w:sz w:val="24"/>
                <w:szCs w:val="24"/>
              </w:rPr>
              <w:t>）</w:t>
            </w:r>
          </w:p>
        </w:tc>
      </w:tr>
    </w:tbl>
    <w:p>
      <w:pPr>
        <w:keepNext w:val="0"/>
        <w:keepLines w:val="0"/>
        <w:pageBreakBefore w:val="0"/>
        <w:widowControl w:val="0"/>
        <w:kinsoku/>
        <w:wordWrap/>
        <w:overflowPunct/>
        <w:topLinePunct w:val="0"/>
        <w:autoSpaceDE w:val="0"/>
        <w:autoSpaceDN w:val="0"/>
        <w:bidi w:val="0"/>
        <w:adjustRightInd/>
        <w:snapToGrid/>
        <w:spacing w:after="0"/>
        <w:jc w:val="center"/>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after="0"/>
        <w:jc w:val="center"/>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after="0"/>
        <w:jc w:val="center"/>
        <w:textAlignment w:val="auto"/>
        <w:outlineLvl w:val="9"/>
        <w:rPr>
          <w:rFonts w:hint="eastAsia" w:ascii="宋体" w:hAnsi="宋体" w:eastAsia="宋体" w:cs="宋体"/>
        </w:rPr>
      </w:pPr>
    </w:p>
    <w:p>
      <w:pPr>
        <w:pStyle w:val="11"/>
        <w:keepNext w:val="0"/>
        <w:keepLines w:val="0"/>
        <w:pageBreakBefore w:val="0"/>
        <w:widowControl w:val="0"/>
        <w:tabs>
          <w:tab w:val="left" w:pos="3980"/>
          <w:tab w:val="left" w:pos="6605"/>
          <w:tab w:val="left" w:pos="9068"/>
        </w:tabs>
        <w:kinsoku/>
        <w:wordWrap/>
        <w:overflowPunct/>
        <w:topLinePunct w:val="0"/>
        <w:autoSpaceDE w:val="0"/>
        <w:autoSpaceDN w:val="0"/>
        <w:bidi w:val="0"/>
        <w:adjustRightInd/>
        <w:snapToGrid/>
        <w:ind w:left="1041"/>
        <w:textAlignment w:val="auto"/>
        <w:outlineLvl w:val="9"/>
        <w:rPr>
          <w:rFonts w:hint="eastAsia" w:ascii="宋体" w:hAnsi="宋体" w:eastAsia="宋体" w:cs="宋体"/>
        </w:rPr>
      </w:pPr>
      <w:r>
        <w:rPr>
          <w:rFonts w:hint="eastAsia" w:ascii="宋体" w:hAnsi="宋体" w:eastAsia="宋体" w:cs="宋体"/>
        </w:rPr>
        <w:t>招标人代表：</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记录人：</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监标人：</w:t>
      </w:r>
      <w:r>
        <w:rPr>
          <w:rFonts w:hint="eastAsia" w:ascii="宋体" w:hAnsi="宋体" w:eastAsia="宋体" w:cs="宋体"/>
          <w:u w:val="single"/>
        </w:rPr>
        <w:t xml:space="preserve"> </w:t>
      </w:r>
      <w:r>
        <w:rPr>
          <w:rFonts w:hint="eastAsia" w:ascii="宋体" w:hAnsi="宋体" w:eastAsia="宋体" w:cs="宋体"/>
          <w:u w:val="single"/>
        </w:rPr>
        <w:tab/>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tabs>
          <w:tab w:val="left" w:pos="5555"/>
          <w:tab w:val="left" w:pos="6395"/>
          <w:tab w:val="left" w:pos="7235"/>
        </w:tabs>
        <w:kinsoku/>
        <w:wordWrap/>
        <w:overflowPunct/>
        <w:topLinePunct w:val="0"/>
        <w:autoSpaceDE w:val="0"/>
        <w:autoSpaceDN w:val="0"/>
        <w:bidi w:val="0"/>
        <w:adjustRightInd/>
        <w:snapToGrid/>
        <w:spacing w:before="71"/>
        <w:ind w:left="4821"/>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keepNext w:val="0"/>
        <w:keepLines w:val="0"/>
        <w:widowControl/>
        <w:suppressLineNumbers w:val="0"/>
        <w:kinsoku/>
        <w:overflowPunct/>
        <w:bidi w:val="0"/>
        <w:snapToGrid/>
        <w:jc w:val="left"/>
        <w:outlineLvl w:val="9"/>
        <w:rPr>
          <w:rFonts w:hint="eastAsia" w:ascii="宋体" w:hAnsi="宋体" w:eastAsia="宋体" w:cs="宋体"/>
        </w:rPr>
      </w:pPr>
      <w:r>
        <w:rPr>
          <w:rFonts w:hint="eastAsia" w:ascii="宋体" w:hAnsi="宋体" w:eastAsia="宋体" w:cs="宋体"/>
          <w:color w:val="000000"/>
          <w:kern w:val="0"/>
          <w:sz w:val="24"/>
          <w:szCs w:val="24"/>
          <w:lang w:val="en-US" w:eastAsia="zh-CN" w:bidi="ar"/>
        </w:rPr>
        <w:t xml:space="preserve">附表二：问题澄清通知 </w:t>
      </w:r>
    </w:p>
    <w:p>
      <w:pPr>
        <w:keepNext w:val="0"/>
        <w:keepLines w:val="0"/>
        <w:widowControl/>
        <w:suppressLineNumbers w:val="0"/>
        <w:kinsoku/>
        <w:overflowPunct/>
        <w:bidi w:val="0"/>
        <w:snapToGrid/>
        <w:jc w:val="center"/>
        <w:outlineLvl w:val="9"/>
        <w:rPr>
          <w:rFonts w:hint="eastAsia" w:ascii="宋体" w:hAnsi="宋体" w:eastAsia="宋体" w:cs="宋体"/>
        </w:rPr>
      </w:pPr>
      <w:r>
        <w:rPr>
          <w:rFonts w:hint="eastAsia" w:ascii="宋体" w:hAnsi="宋体" w:eastAsia="宋体" w:cs="宋体"/>
          <w:color w:val="000000"/>
          <w:kern w:val="0"/>
          <w:sz w:val="28"/>
          <w:szCs w:val="28"/>
          <w:lang w:val="en-US" w:eastAsia="zh-CN" w:bidi="ar"/>
        </w:rPr>
        <w:t>问题澄清通知</w:t>
      </w:r>
    </w:p>
    <w:p>
      <w:pPr>
        <w:keepNext w:val="0"/>
        <w:keepLines w:val="0"/>
        <w:widowControl/>
        <w:suppressLineNumbers w:val="0"/>
        <w:kinsoku/>
        <w:overflowPunct/>
        <w:bidi w:val="0"/>
        <w:snapToGrid/>
        <w:jc w:val="center"/>
        <w:outlineLvl w:val="9"/>
        <w:rPr>
          <w:rFonts w:hint="eastAsia" w:ascii="宋体" w:hAnsi="宋体" w:eastAsia="宋体" w:cs="宋体"/>
        </w:rPr>
      </w:pPr>
      <w:r>
        <w:rPr>
          <w:rFonts w:hint="eastAsia" w:ascii="宋体" w:hAnsi="宋体" w:eastAsia="宋体" w:cs="宋体"/>
          <w:color w:val="000000"/>
          <w:kern w:val="0"/>
          <w:sz w:val="21"/>
          <w:szCs w:val="21"/>
          <w:lang w:val="en-US" w:eastAsia="zh-CN" w:bidi="ar"/>
        </w:rPr>
        <w:t>编号：</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（投标人名称）：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（项目名称） 标段施工招标的评标委员会，对你方的投标文件进行了仔细的审查，现需你方对本通知所附质疑问卷中的问题以书面形式予以澄清、说明或者补正。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请将上述问题的澄清、说明或者补正于 年 月 日 时前密封递交至（详细地址）或传真至 （传真号码）。采用传真方式的，应在 年 月 日 时前将原件递交至 （详细地址）。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附件：质疑问卷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（项目名称） 标段施工招标评标委员会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（经评标委员会授权的招标人代表签字或招标人加盖单位章）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年 月 日 </w:t>
      </w:r>
    </w:p>
    <w:p>
      <w:pPr>
        <w:keepNext w:val="0"/>
        <w:keepLines w:val="0"/>
        <w:pageBreakBefore w:val="0"/>
        <w:widowControl w:val="0"/>
        <w:kinsoku/>
        <w:wordWrap/>
        <w:overflowPunct/>
        <w:topLinePunct w:val="0"/>
        <w:autoSpaceDE w:val="0"/>
        <w:autoSpaceDN w:val="0"/>
        <w:bidi w:val="0"/>
        <w:adjustRightInd/>
        <w:snapToGrid/>
        <w:spacing w:after="0" w:line="360" w:lineRule="auto"/>
        <w:textAlignment w:val="auto"/>
        <w:outlineLvl w:val="9"/>
        <w:rPr>
          <w:rFonts w:hint="eastAsia" w:ascii="宋体" w:hAnsi="宋体" w:eastAsia="宋体" w:cs="宋体"/>
          <w:sz w:val="24"/>
          <w:szCs w:val="24"/>
        </w:rPr>
        <w:sectPr>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r>
        <w:rPr>
          <w:rFonts w:hint="eastAsia" w:ascii="宋体" w:hAnsi="宋体" w:eastAsia="宋体" w:cs="宋体"/>
        </w:rPr>
        <w:br w:type="column"/>
      </w:r>
    </w:p>
    <w:p>
      <w:pPr>
        <w:keepNext w:val="0"/>
        <w:keepLines w:val="0"/>
        <w:widowControl/>
        <w:suppressLineNumbers w:val="0"/>
        <w:kinsoku/>
        <w:overflowPunct/>
        <w:bidi w:val="0"/>
        <w:snapToGrid/>
        <w:jc w:val="left"/>
        <w:outlineLvl w:val="9"/>
        <w:rPr>
          <w:rFonts w:hint="eastAsia" w:ascii="宋体" w:hAnsi="宋体" w:eastAsia="宋体" w:cs="宋体"/>
        </w:rPr>
      </w:pPr>
      <w:r>
        <w:rPr>
          <w:rFonts w:hint="eastAsia" w:ascii="宋体" w:hAnsi="宋体" w:eastAsia="宋体" w:cs="宋体"/>
          <w:color w:val="000000"/>
          <w:kern w:val="0"/>
          <w:sz w:val="24"/>
          <w:szCs w:val="24"/>
          <w:lang w:val="en-US" w:eastAsia="zh-CN" w:bidi="ar"/>
        </w:rPr>
        <w:t xml:space="preserve">附表三：问题的澄清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问题的澄清、说明或补正</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编号：</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（项目名称） 标段施工招标评标委员会：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问题澄清通知（编号： ）已收悉，现澄清、说明或者补正如下：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投标人： （盖单位章）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法定代表人或其委托代理人： （签字）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rPr>
        <w:sectPr>
          <w:type w:val="continuous"/>
          <w:pgSz w:w="11910" w:h="16840"/>
          <w:pgMar w:top="1417" w:right="1701" w:bottom="1417" w:left="1701" w:header="720" w:footer="720" w:gutter="0"/>
          <w:pgNumType w:fmt="decimal"/>
          <w:cols w:space="425" w:num="1"/>
          <w:rtlGutter w:val="0"/>
          <w:docGrid w:linePitch="0" w:charSpace="0"/>
        </w:sectPr>
      </w:pPr>
      <w:r>
        <w:rPr>
          <w:rFonts w:hint="eastAsia" w:ascii="宋体" w:hAnsi="宋体" w:eastAsia="宋体" w:cs="宋体"/>
          <w:color w:val="000000"/>
          <w:kern w:val="0"/>
          <w:sz w:val="24"/>
          <w:szCs w:val="24"/>
          <w:lang w:val="en-US" w:eastAsia="zh-CN" w:bidi="ar"/>
        </w:rPr>
        <w:t xml:space="preserve">年 月 日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附表四：中标通知书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center"/>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中标通知书</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（中标人名称）：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你方于 （投标日期）所递交的 （项目名称） 标段施工投标文件已被我方接受，被确定为中标人。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中标价： 元。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工 期： 日历天。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工程质量：符合 标准。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项目经理： （姓名）。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请你方在接到本通知书后的 日内到 （指定地点）与我方签订施工承包合同，在此之前按招标文件第二章“投标人须知”第 7.3 款规定向我方提 交履约担保。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特此通知。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招标人： （盖单位章）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法定代表人： （签字） </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年 月 日</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rPr>
        <w:br w:type="column"/>
      </w:r>
      <w:r>
        <w:rPr>
          <w:rFonts w:hint="eastAsia" w:ascii="宋体" w:hAnsi="宋体" w:eastAsia="宋体" w:cs="宋体"/>
          <w:color w:val="000000"/>
          <w:kern w:val="0"/>
          <w:sz w:val="24"/>
          <w:szCs w:val="24"/>
          <w:lang w:val="en-US" w:eastAsia="zh-CN" w:bidi="ar"/>
        </w:rPr>
        <w:t xml:space="preserve">附表五：中标结果通知书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中标结果通知书</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（未中标人名称）：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我方已接受 （中标人名称）于 （投标日期）所递交的 （项目名称） 标段施工投标文件，确定 （中标人名称）为中标人。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感谢你单位对我方工作的大力支持!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招标人： （盖单位章）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法定代表人： （签字）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年 月 日 </w:t>
      </w:r>
    </w:p>
    <w:p>
      <w:pPr>
        <w:keepNext w:val="0"/>
        <w:keepLines w:val="0"/>
        <w:pageBreakBefore w:val="0"/>
        <w:widowControl w:val="0"/>
        <w:kinsoku/>
        <w:wordWrap/>
        <w:overflowPunct/>
        <w:topLinePunct w:val="0"/>
        <w:autoSpaceDE w:val="0"/>
        <w:autoSpaceDN w:val="0"/>
        <w:bidi w:val="0"/>
        <w:adjustRightInd/>
        <w:snapToGrid/>
        <w:spacing w:before="134" w:line="360" w:lineRule="auto"/>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before="134"/>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134"/>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134"/>
        <w:textAlignment w:val="auto"/>
        <w:outlineLvl w:val="9"/>
        <w:rPr>
          <w:rFonts w:hint="eastAsia" w:ascii="宋体" w:hAnsi="宋体" w:eastAsia="宋体" w:cs="宋体"/>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r>
        <w:rPr>
          <w:rFonts w:hint="eastAsia" w:ascii="宋体" w:hAnsi="宋体" w:eastAsia="宋体" w:cs="宋体"/>
        </w:rPr>
        <w:br w:type="column"/>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附表六：确认通知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确认通知</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（招标人名称）：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你方 年 月 日发出的 （项目名称） 标段施工招标关于的通知，我方已于 年 月 日收到。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特此确认。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投标人： （盖单位章）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年 月 日 </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p>
    <w:p>
      <w:pPr>
        <w:keepLines w:val="0"/>
        <w:kinsoku/>
        <w:overflowPunct/>
        <w:bidi w:val="0"/>
        <w:snapToGrid/>
        <w:outlineLvl w:val="9"/>
        <w:rPr>
          <w:rFonts w:hint="eastAsia" w:ascii="宋体" w:hAnsi="宋体" w:eastAsia="宋体" w:cs="宋体"/>
          <w:b/>
          <w:sz w:val="32"/>
        </w:rPr>
      </w:pPr>
      <w:bookmarkStart w:id="6" w:name="_bookmark3"/>
      <w:bookmarkEnd w:id="6"/>
      <w:r>
        <w:rPr>
          <w:rFonts w:hint="eastAsia" w:ascii="宋体" w:hAnsi="宋体" w:eastAsia="宋体" w:cs="宋体"/>
          <w:b/>
          <w:sz w:val="32"/>
        </w:rPr>
        <w:br w:type="page"/>
      </w:r>
    </w:p>
    <w:p>
      <w:pPr>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eastAsia"/>
          <w:b/>
          <w:bCs/>
          <w:sz w:val="30"/>
          <w:szCs w:val="30"/>
        </w:rPr>
      </w:pPr>
      <w:bookmarkStart w:id="7" w:name="_Toc18462"/>
      <w:bookmarkStart w:id="8" w:name="_Toc1039"/>
      <w:r>
        <w:rPr>
          <w:rFonts w:hint="eastAsia"/>
          <w:b/>
          <w:bCs/>
          <w:sz w:val="30"/>
          <w:szCs w:val="30"/>
        </w:rPr>
        <w:t>第三章评标办法</w:t>
      </w:r>
      <w:bookmarkEnd w:id="7"/>
      <w:bookmarkEnd w:id="8"/>
    </w:p>
    <w:p>
      <w:pPr>
        <w:pStyle w:val="11"/>
        <w:keepNext w:val="0"/>
        <w:keepLines w:val="0"/>
        <w:pageBreakBefore w:val="0"/>
        <w:widowControl w:val="0"/>
        <w:kinsoku/>
        <w:wordWrap/>
        <w:overflowPunct/>
        <w:topLinePunct w:val="0"/>
        <w:autoSpaceDE w:val="0"/>
        <w:autoSpaceDN w:val="0"/>
        <w:bidi w:val="0"/>
        <w:adjustRightInd/>
        <w:snapToGrid/>
        <w:spacing w:before="15"/>
        <w:textAlignment w:val="auto"/>
        <w:outlineLvl w:val="9"/>
        <w:rPr>
          <w:rFonts w:hint="eastAsia" w:ascii="宋体" w:hAnsi="宋体" w:eastAsia="宋体" w:cs="宋体"/>
          <w:b/>
          <w:sz w:val="18"/>
        </w:rPr>
      </w:pPr>
    </w:p>
    <w:p>
      <w:pPr>
        <w:keepNext w:val="0"/>
        <w:keepLines w:val="0"/>
        <w:pageBreakBefore w:val="0"/>
        <w:widowControl w:val="0"/>
        <w:kinsoku/>
        <w:wordWrap/>
        <w:overflowPunct/>
        <w:topLinePunct w:val="0"/>
        <w:autoSpaceDE w:val="0"/>
        <w:autoSpaceDN w:val="0"/>
        <w:bidi w:val="0"/>
        <w:adjustRightInd/>
        <w:snapToGrid/>
        <w:spacing w:before="0" w:line="538" w:lineRule="exact"/>
        <w:ind w:left="1041" w:right="0" w:firstLine="0"/>
        <w:jc w:val="center"/>
        <w:textAlignment w:val="auto"/>
        <w:outlineLvl w:val="9"/>
        <w:rPr>
          <w:rFonts w:hint="eastAsia" w:ascii="宋体" w:hAnsi="宋体" w:eastAsia="宋体" w:cs="宋体"/>
          <w:b/>
          <w:sz w:val="32"/>
        </w:rPr>
      </w:pPr>
      <w:r>
        <w:rPr>
          <w:rFonts w:hint="eastAsia" w:ascii="宋体" w:hAnsi="宋体" w:eastAsia="宋体" w:cs="宋体"/>
          <w:b/>
          <w:sz w:val="32"/>
        </w:rPr>
        <w:t>评标办法前附表</w:t>
      </w:r>
    </w:p>
    <w:p>
      <w:pPr>
        <w:pStyle w:val="11"/>
        <w:keepNext w:val="0"/>
        <w:keepLines w:val="0"/>
        <w:pageBreakBefore w:val="0"/>
        <w:widowControl w:val="0"/>
        <w:kinsoku/>
        <w:wordWrap/>
        <w:overflowPunct/>
        <w:topLinePunct w:val="0"/>
        <w:autoSpaceDE w:val="0"/>
        <w:autoSpaceDN w:val="0"/>
        <w:bidi w:val="0"/>
        <w:adjustRightInd/>
        <w:snapToGrid/>
        <w:spacing w:before="15" w:after="1"/>
        <w:textAlignment w:val="auto"/>
        <w:outlineLvl w:val="9"/>
        <w:rPr>
          <w:rFonts w:hint="eastAsia" w:ascii="宋体" w:hAnsi="宋体" w:eastAsia="宋体" w:cs="宋体"/>
          <w:b/>
          <w:sz w:val="15"/>
        </w:rPr>
      </w:pPr>
    </w:p>
    <w:tbl>
      <w:tblPr>
        <w:tblStyle w:val="18"/>
        <w:tblW w:w="8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204"/>
        <w:gridCol w:w="949"/>
        <w:gridCol w:w="506"/>
        <w:gridCol w:w="1574"/>
        <w:gridCol w:w="4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897" w:type="dxa"/>
            <w:gridSpan w:val="3"/>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条款号</w:t>
            </w: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评审因素</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restart"/>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2.1.1</w:t>
            </w:r>
          </w:p>
        </w:tc>
        <w:tc>
          <w:tcPr>
            <w:tcW w:w="1153" w:type="dxa"/>
            <w:gridSpan w:val="2"/>
            <w:vMerge w:val="restart"/>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形式评审标</w:t>
            </w:r>
            <w:r>
              <w:rPr>
                <w:rFonts w:hint="eastAsia" w:ascii="宋体" w:hAnsi="宋体" w:eastAsia="宋体" w:cs="宋体"/>
                <w:sz w:val="24"/>
                <w:szCs w:val="24"/>
              </w:rPr>
              <w:tab/>
            </w:r>
            <w:r>
              <w:rPr>
                <w:rFonts w:hint="eastAsia" w:ascii="宋体" w:hAnsi="宋体" w:eastAsia="宋体" w:cs="宋体"/>
                <w:sz w:val="24"/>
                <w:szCs w:val="24"/>
              </w:rPr>
              <w:t>准</w:t>
            </w: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投标人名称</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签字盖章</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按招标文件要求签字、盖章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投标文件格式</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w:t>
            </w:r>
            <w:r>
              <w:rPr>
                <w:rFonts w:hint="eastAsia" w:cs="宋体"/>
                <w:sz w:val="24"/>
                <w:szCs w:val="24"/>
                <w:lang w:eastAsia="zh-CN"/>
              </w:rPr>
              <w:t>七</w:t>
            </w:r>
            <w:r>
              <w:rPr>
                <w:rFonts w:hint="eastAsia" w:ascii="宋体" w:hAnsi="宋体" w:eastAsia="宋体" w:cs="宋体"/>
                <w:sz w:val="24"/>
                <w:szCs w:val="24"/>
              </w:rPr>
              <w:t>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报价唯一</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restart"/>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2.1.2</w:t>
            </w:r>
          </w:p>
        </w:tc>
        <w:tc>
          <w:tcPr>
            <w:tcW w:w="1153" w:type="dxa"/>
            <w:gridSpan w:val="2"/>
            <w:vMerge w:val="restart"/>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资格评审标</w:t>
            </w:r>
            <w:r>
              <w:rPr>
                <w:rFonts w:hint="eastAsia" w:ascii="宋体" w:hAnsi="宋体" w:eastAsia="宋体" w:cs="宋体"/>
                <w:sz w:val="24"/>
                <w:szCs w:val="24"/>
              </w:rPr>
              <w:tab/>
            </w:r>
            <w:r>
              <w:rPr>
                <w:rFonts w:hint="eastAsia" w:ascii="宋体" w:hAnsi="宋体" w:eastAsia="宋体" w:cs="宋体"/>
                <w:sz w:val="24"/>
                <w:szCs w:val="24"/>
              </w:rPr>
              <w:t>准</w:t>
            </w: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具备独立法人资格</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提供有效的营业执照、组织机构代码证、税务登记证或有效的三证合一的营业执照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安全生产许可证</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资质等级</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财务状况</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信誉（无行贿承诺函）</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项目经理</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失信行为</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其他要求</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restart"/>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2.1.3</w:t>
            </w:r>
          </w:p>
        </w:tc>
        <w:tc>
          <w:tcPr>
            <w:tcW w:w="1153" w:type="dxa"/>
            <w:gridSpan w:val="2"/>
            <w:vMerge w:val="restart"/>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响 应 性评审标准</w:t>
            </w: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投标内容</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工期</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工程质量</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投标有效期</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投标保证金</w:t>
            </w:r>
          </w:p>
        </w:tc>
        <w:tc>
          <w:tcPr>
            <w:tcW w:w="4983"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已标价工程量清单</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符合第五章“工程量清单”给出的子目编码、子目名称、子目特征、计量单位和工程量。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技术标准和要求</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符合第七章“技术标准和要求”规定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投标价格</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不超过招标控制价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44" w:type="dxa"/>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1153" w:type="dxa"/>
            <w:gridSpan w:val="2"/>
            <w:vMerge w:val="continue"/>
            <w:tcBorders>
              <w:top w:val="nil"/>
            </w:tcBorders>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投标报价</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投标函的报价与单项工程投标报价汇总表必须一致。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1897" w:type="dxa"/>
            <w:gridSpan w:val="3"/>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条款号</w:t>
            </w: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条款内容</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897" w:type="dxa"/>
            <w:gridSpan w:val="3"/>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2.2.1</w:t>
            </w: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分值构成</w:t>
            </w: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rPr>
              <w:t>（总分 100 分）</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技术标：</w:t>
            </w:r>
            <w:r>
              <w:rPr>
                <w:rFonts w:hint="eastAsia" w:cs="宋体"/>
                <w:sz w:val="24"/>
                <w:szCs w:val="24"/>
                <w:lang w:val="en-US" w:eastAsia="zh-CN"/>
              </w:rPr>
              <w:t>50</w:t>
            </w:r>
            <w:r>
              <w:rPr>
                <w:rFonts w:hint="eastAsia" w:ascii="宋体" w:hAnsi="宋体" w:eastAsia="宋体" w:cs="宋体"/>
                <w:sz w:val="24"/>
                <w:szCs w:val="24"/>
                <w:lang w:val="en-US" w:eastAsia="zh-CN"/>
              </w:rPr>
              <w:t xml:space="preserve">分 </w:t>
            </w: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商务标：</w:t>
            </w:r>
            <w:r>
              <w:rPr>
                <w:rFonts w:hint="eastAsia" w:cs="宋体"/>
                <w:sz w:val="24"/>
                <w:szCs w:val="24"/>
                <w:lang w:val="en-US" w:eastAsia="zh-CN"/>
              </w:rPr>
              <w:t>30</w:t>
            </w:r>
            <w:r>
              <w:rPr>
                <w:rFonts w:hint="eastAsia" w:ascii="宋体" w:hAnsi="宋体" w:eastAsia="宋体" w:cs="宋体"/>
                <w:sz w:val="24"/>
                <w:szCs w:val="24"/>
                <w:lang w:val="en-US" w:eastAsia="zh-CN"/>
              </w:rPr>
              <w:t xml:space="preserve">分 </w:t>
            </w: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综合标：</w:t>
            </w:r>
            <w:r>
              <w:rPr>
                <w:rFonts w:hint="eastAsia" w:cs="宋体"/>
                <w:sz w:val="24"/>
                <w:szCs w:val="24"/>
                <w:lang w:val="en-US" w:eastAsia="zh-CN"/>
              </w:rPr>
              <w:t>20</w:t>
            </w:r>
            <w:r>
              <w:rPr>
                <w:rFonts w:hint="eastAsia" w:ascii="宋体" w:hAnsi="宋体" w:eastAsia="宋体" w:cs="宋体"/>
                <w:sz w:val="24"/>
                <w:szCs w:val="24"/>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897" w:type="dxa"/>
            <w:gridSpan w:val="3"/>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1.2.2 </w:t>
            </w:r>
          </w:p>
        </w:tc>
        <w:tc>
          <w:tcPr>
            <w:tcW w:w="2080" w:type="dxa"/>
            <w:gridSpan w:val="2"/>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评标基准价 </w:t>
            </w: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计算方法 </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详见综合评估法评标办法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jc w:val="center"/>
        </w:trPr>
        <w:tc>
          <w:tcPr>
            <w:tcW w:w="1897" w:type="dxa"/>
            <w:gridSpan w:val="3"/>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1.2.3 </w:t>
            </w:r>
          </w:p>
        </w:tc>
        <w:tc>
          <w:tcPr>
            <w:tcW w:w="2080"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投标报价的偏差率计算公式 </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 xml:space="preserve">偏差率=100%×（投标人报价－评标基准价）/评标基准价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1897" w:type="dxa"/>
            <w:gridSpan w:val="3"/>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center"/>
              <w:textAlignment w:val="auto"/>
              <w:outlineLvl w:val="9"/>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条款号</w:t>
            </w:r>
          </w:p>
        </w:tc>
        <w:tc>
          <w:tcPr>
            <w:tcW w:w="2080"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center"/>
              <w:textAlignment w:val="auto"/>
              <w:outlineLvl w:val="9"/>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条款号</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center"/>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color w:val="000000"/>
                <w:kern w:val="0"/>
                <w:sz w:val="24"/>
                <w:szCs w:val="24"/>
                <w:lang w:val="en-US" w:eastAsia="zh-CN" w:bidi="ar"/>
              </w:rPr>
              <w:t>条款号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48" w:type="dxa"/>
            <w:gridSpan w:val="2"/>
            <w:vMerge w:val="restart"/>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1.2.4 </w:t>
            </w: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949"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技</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术</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标</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评</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标</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准 </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cs="宋体"/>
                <w:color w:val="000000"/>
                <w:kern w:val="0"/>
                <w:sz w:val="24"/>
                <w:szCs w:val="24"/>
                <w:lang w:val="en-US" w:eastAsia="zh-CN" w:bidi="ar"/>
              </w:rPr>
              <w:t>50</w:t>
            </w:r>
            <w:r>
              <w:rPr>
                <w:rFonts w:hint="eastAsia" w:ascii="宋体" w:hAnsi="宋体" w:eastAsia="宋体" w:cs="宋体"/>
                <w:color w:val="000000"/>
                <w:kern w:val="0"/>
                <w:sz w:val="24"/>
                <w:szCs w:val="24"/>
                <w:lang w:val="en-US" w:eastAsia="zh-CN" w:bidi="ar"/>
              </w:rPr>
              <w:t>分）</w:t>
            </w:r>
          </w:p>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cs="宋体"/>
                <w:sz w:val="24"/>
                <w:szCs w:val="24"/>
                <w:lang w:val="en-US" w:eastAsia="zh-CN"/>
              </w:rPr>
              <w:t>1、</w:t>
            </w:r>
            <w:r>
              <w:rPr>
                <w:rFonts w:hint="eastAsia" w:ascii="宋体" w:hAnsi="宋体" w:eastAsia="宋体" w:cs="宋体"/>
                <w:sz w:val="24"/>
                <w:szCs w:val="24"/>
              </w:rPr>
              <w:t>内容完整性（0-3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根据技术标的主要内容的完整性在 0-3 分之间进行打分。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9"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restart"/>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2、施工方案与技术措施（0-8 分）</w:t>
            </w: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施工方案（含工程特点、施工重点与难点及绿色施工）总体安排合理，运用先进、合理的施工工艺、施工机械；对施工难点有先进和合理的建议。5＜得分≤8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pPr>
          </w:p>
        </w:tc>
        <w:tc>
          <w:tcPr>
            <w:tcW w:w="2080"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4983" w:type="dxa"/>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施工方案（含工程特点、施工重点与难点及绿色施工）总体安排合理，施工工艺、施工机械合理、可行；对施工难点有合理的建议。0＜得分≤5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3、质量管理体系与措施</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（0-8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组织机构形式合理，有完善的指挥系统、质量监控系统、联络协调系统，对项目提出先进、可行、具体的保证措施。5＜得分≤8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948"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right="44" w:rightChars="20"/>
              <w:jc w:val="left"/>
              <w:textAlignment w:val="auto"/>
              <w:outlineLvl w:val="9"/>
            </w:pPr>
          </w:p>
        </w:tc>
        <w:tc>
          <w:tcPr>
            <w:tcW w:w="949"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right="44" w:rightChars="20"/>
              <w:jc w:val="left"/>
              <w:textAlignment w:val="auto"/>
              <w:outlineLvl w:val="9"/>
            </w:pPr>
          </w:p>
        </w:tc>
        <w:tc>
          <w:tcPr>
            <w:tcW w:w="2080"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组织机构形式基本合理，指挥系统、质量监控系统、联络协调系统，具体措施可行。主体结构质量保证措施经济、安全、基本可行。0＜得分≤5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4、工期保证措施（0-8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工期承诺满足招标文件要求，工期保证措施合理且有针对性，有具体的违约责任承诺。5＜得分≤8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948"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949"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2080"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工期承诺满足招标文件要求，工期保证措施基本合理，有具体的违约责任承诺。0＜得分≤5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5、安全管理、文明、环境保护体系与措施（0-8</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施工安全生产保障体系健全，安全管理制度完善，安全管理目标具体，全员安全责任制明确，现场安全管理组织机构、人员配备满足</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国家规定要求。根据工程特点、周边环境和施工工艺，现场重大危险源辨识全面，安全技术方案措施科学合理、先进可行。</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5＜得分≤8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948"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949"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2080"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有施工安全生产保障体系、安全责任制和安全管理制度，现场安全管理机构、人员配备满足国家规定。根据工程特点、周边环境和施工工艺，正确识别现场重大危险源并有相应的安全防护管理措施。安全技术方案、措施基本可行。0＜得分≤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6、 标准化工地建设方案及措施（0-2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总体建设方案有针对性、合理、能较好满足施工需要，符合安全、文明施工要求；材料堆放有序。1＜得分≤2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948"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949"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2080"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lang w:val="en-US" w:eastAsia="zh-CN"/>
              </w:rPr>
              <w:t>总体建设方案基本合理、基本满足施工需要。0＜得分≤1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7、拟投入资源配备计划</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（0-4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投入计划与进度计划呼应，采用先进机械设备且配置合理、先进，满足安全技术规范和施工进度需要；PC 构件运输、安装设备满足施工要求；劳动力投入计划与进度计划呼应，较好满足施工需要，调配投入计划合理、准确；</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主要物资投入计划与进度计划呼应，较好满足施工需要，调配投入计划合理、准确。2＜得分≤4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948"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949"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2080"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投入计划与进度计划呼应，机械设备配置基本合理，满足安全技术规范和施工进度需要；劳动力投入计划与进度计划呼应，基本满足施工需要，调配投入计划基本合理；</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主要物资投入计划与进度计划呼应，基本满足施工需要，调配投入计划基本合理。</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8、技术创新的应用实施措施（0-3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节能减排、绿色施工、工艺创新、装配式建筑等技术创新的应用实施措施符合工程情况，具有针对性、可行性、经济适用性。</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1＜得分≤3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948"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949"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2080"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节能减排、绿色施工、工艺创新、装配式建筑等技术创新的应用实施措施基本符合工程情况，具有针对性。0＜得分≤1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9、风险管理措施（0-3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风险防控管理措施齐全，风险预控符合规范要求，风险控制要点定位准确，各阶段风险控制及应急措施得力。1＜得分≤3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948"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949"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pPr>
          </w:p>
        </w:tc>
        <w:tc>
          <w:tcPr>
            <w:tcW w:w="2080"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lang w:val="en-US" w:eastAsia="zh-CN"/>
              </w:rPr>
              <w:t>风险防控管理措施基本齐全，风险预控符合规范要求，风险控制要点定位基本准确，有各阶段风险控制及应急措施。0＜得分≤1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10、施工扬尘专项控制方案（0-3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风险防控管理措施基本齐全，风险预控符合规范要求，风险控制要点定位基本准确，有各阶段风险控制及应急措施。0＜得分≤1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948"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lang w:val="en-US" w:eastAsia="zh-CN"/>
              </w:rPr>
            </w:pPr>
          </w:p>
        </w:tc>
        <w:tc>
          <w:tcPr>
            <w:tcW w:w="949" w:type="dxa"/>
            <w:vMerge w:val="continue"/>
            <w:vAlign w:val="center"/>
          </w:tcPr>
          <w:p>
            <w:pPr>
              <w:keepNext w:val="0"/>
              <w:keepLines w:val="0"/>
              <w:pageBreakBefore w:val="0"/>
              <w:kinsoku/>
              <w:wordWrap/>
              <w:overflowPunct/>
              <w:topLinePunct w:val="0"/>
              <w:autoSpaceDE w:val="0"/>
              <w:autoSpaceDN w:val="0"/>
              <w:bidi w:val="0"/>
              <w:adjustRightInd/>
              <w:snapToGrid/>
              <w:spacing w:before="0" w:beforeLines="20" w:after="0" w:afterLines="20" w:line="360" w:lineRule="auto"/>
              <w:ind w:left="44" w:leftChars="20" w:right="44" w:rightChars="20"/>
              <w:textAlignment w:val="auto"/>
              <w:outlineLvl w:val="9"/>
              <w:rPr>
                <w:rFonts w:hint="eastAsia" w:ascii="宋体" w:hAnsi="宋体" w:eastAsia="宋体" w:cs="宋体"/>
                <w:sz w:val="24"/>
                <w:szCs w:val="24"/>
              </w:rPr>
            </w:pPr>
          </w:p>
        </w:tc>
        <w:tc>
          <w:tcPr>
            <w:tcW w:w="2080"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明确扬尘控制的目标、重点、制度措施以及组织机构和职责，各评委就所有有效投标文件横向比较后，在每项所给出的分值内酌情打分，缺项时得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48"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1.2.4 </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 xml:space="preserve">(2) </w:t>
            </w:r>
          </w:p>
        </w:tc>
        <w:tc>
          <w:tcPr>
            <w:tcW w:w="94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商务标 </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cs="宋体"/>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分）</w:t>
            </w:r>
          </w:p>
        </w:tc>
        <w:tc>
          <w:tcPr>
            <w:tcW w:w="2080"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投标报价 </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①评标基准价的确定： </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通过初步评审的有效投标人报</w:t>
            </w:r>
            <w:r>
              <w:rPr>
                <w:rFonts w:hint="eastAsia" w:ascii="宋体" w:hAnsi="宋体" w:eastAsia="宋体" w:cs="宋体"/>
                <w:sz w:val="24"/>
                <w:szCs w:val="24"/>
                <w:highlight w:val="none"/>
                <w:lang w:val="en-US" w:eastAsia="zh-CN"/>
              </w:rPr>
              <w:t>价</w:t>
            </w:r>
            <w:r>
              <w:rPr>
                <w:rFonts w:hint="eastAsia" w:cs="宋体"/>
                <w:sz w:val="24"/>
                <w:szCs w:val="24"/>
                <w:highlight w:val="none"/>
                <w:lang w:val="en-US" w:eastAsia="zh-CN"/>
              </w:rPr>
              <w:t>（扣除中小微企业优惠政策）</w:t>
            </w:r>
            <w:r>
              <w:rPr>
                <w:rFonts w:hint="eastAsia" w:ascii="宋体" w:hAnsi="宋体" w:eastAsia="宋体" w:cs="宋体"/>
                <w:sz w:val="24"/>
                <w:szCs w:val="24"/>
                <w:highlight w:val="none"/>
                <w:lang w:val="en-US" w:eastAsia="zh-CN"/>
              </w:rPr>
              <w:t xml:space="preserve">为有效投标报价。 </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1）招标控制价 100%-95%范围（含 95%，100%下同）内的有效投标报价的算术平均值为评标基准价计算； 不在此范围内的有效投标报价不参与评标基准价计算，但仍可参与下一步的评分；若有效投标报价均不在招标控制价 100%-95%范围内，则以招标控制价为评标基准价。 </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2）评标基准价=招标控制价×50%+各有效投标报价的算术平均值（多于或等于5家时去掉一个最高和一个最低价）×50%。</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偏差率</w:t>
            </w:r>
            <w:r>
              <w:rPr>
                <w:rFonts w:hint="eastAsia" w:ascii="宋体" w:hAnsi="宋体" w:eastAsia="宋体" w:cs="宋体"/>
                <w:sz w:val="24"/>
                <w:szCs w:val="24"/>
                <w:lang w:val="en-US" w:eastAsia="zh-CN"/>
              </w:rPr>
              <w:t xml:space="preserve">=100% ×（投标人报价-评标基准价）/评标基准价 </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②投标报价的评审</w:t>
            </w:r>
            <w:r>
              <w:rPr>
                <w:rFonts w:hint="eastAsia" w:cs="宋体"/>
                <w:b/>
                <w:bCs/>
                <w:sz w:val="24"/>
                <w:szCs w:val="24"/>
                <w:lang w:val="en-US" w:eastAsia="zh-CN"/>
              </w:rPr>
              <w:t>30</w:t>
            </w:r>
            <w:r>
              <w:rPr>
                <w:rFonts w:hint="eastAsia" w:ascii="宋体" w:hAnsi="宋体" w:eastAsia="宋体" w:cs="宋体"/>
                <w:b/>
                <w:bCs/>
                <w:sz w:val="24"/>
                <w:szCs w:val="24"/>
                <w:lang w:val="en-US" w:eastAsia="zh-CN"/>
              </w:rPr>
              <w:t xml:space="preserve">分 </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投标报价与评标基准价相等得基本分</w:t>
            </w:r>
            <w:r>
              <w:rPr>
                <w:rFonts w:hint="eastAsia" w:cs="宋体"/>
                <w:sz w:val="24"/>
                <w:szCs w:val="24"/>
                <w:lang w:val="en-US" w:eastAsia="zh-CN"/>
              </w:rPr>
              <w:t>25</w:t>
            </w:r>
            <w:r>
              <w:rPr>
                <w:rFonts w:hint="eastAsia" w:ascii="宋体" w:hAnsi="宋体" w:eastAsia="宋体" w:cs="宋体"/>
                <w:sz w:val="24"/>
                <w:szCs w:val="24"/>
                <w:lang w:val="en-US" w:eastAsia="zh-CN"/>
              </w:rPr>
              <w:t>分。当投标报价低于评标基准价时，每低1%在基本分</w:t>
            </w:r>
            <w:r>
              <w:rPr>
                <w:rFonts w:hint="eastAsia" w:cs="宋体"/>
                <w:sz w:val="24"/>
                <w:szCs w:val="24"/>
                <w:lang w:val="en-US" w:eastAsia="zh-CN"/>
              </w:rPr>
              <w:t>25</w:t>
            </w:r>
            <w:r>
              <w:rPr>
                <w:rFonts w:hint="eastAsia" w:ascii="宋体" w:hAnsi="宋体" w:eastAsia="宋体" w:cs="宋体"/>
                <w:sz w:val="24"/>
                <w:szCs w:val="24"/>
                <w:lang w:val="en-US" w:eastAsia="zh-CN"/>
              </w:rPr>
              <w:t>分的基础上加1分，最多加5分；当投标报价低于评标基准价5%以上（不含5%）时，每再低 1%在满分</w:t>
            </w:r>
            <w:r>
              <w:rPr>
                <w:rFonts w:hint="eastAsia" w:cs="宋体"/>
                <w:sz w:val="24"/>
                <w:szCs w:val="24"/>
                <w:lang w:val="en-US" w:eastAsia="zh-CN"/>
              </w:rPr>
              <w:t>30</w:t>
            </w:r>
            <w:r>
              <w:rPr>
                <w:rFonts w:hint="eastAsia" w:ascii="宋体" w:hAnsi="宋体" w:eastAsia="宋体" w:cs="宋体"/>
                <w:sz w:val="24"/>
                <w:szCs w:val="24"/>
                <w:lang w:val="en-US" w:eastAsia="zh-CN"/>
              </w:rPr>
              <w:t>分的基础上扣1分，扣完为止；当投标报价高于评标基准价时，每高1%在基本分</w:t>
            </w:r>
            <w:r>
              <w:rPr>
                <w:rFonts w:hint="eastAsia" w:cs="宋体"/>
                <w:sz w:val="24"/>
                <w:szCs w:val="24"/>
                <w:lang w:val="en-US" w:eastAsia="zh-CN"/>
              </w:rPr>
              <w:t>25</w:t>
            </w:r>
            <w:r>
              <w:rPr>
                <w:rFonts w:hint="eastAsia" w:ascii="宋体" w:hAnsi="宋体" w:eastAsia="宋体" w:cs="宋体"/>
                <w:sz w:val="24"/>
                <w:szCs w:val="24"/>
                <w:lang w:val="en-US" w:eastAsia="zh-CN"/>
              </w:rPr>
              <w:t>分的基础上扣1分，扣完为止。</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（各项评分均采用插值计入法，小数点后保留两位。）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jc w:val="center"/>
        </w:trPr>
        <w:tc>
          <w:tcPr>
            <w:tcW w:w="1897" w:type="dxa"/>
            <w:gridSpan w:val="3"/>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1.2.4(3)综合标 </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w:t>
            </w:r>
            <w:r>
              <w:rPr>
                <w:rFonts w:hint="eastAsia"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分）</w:t>
            </w:r>
          </w:p>
        </w:tc>
        <w:tc>
          <w:tcPr>
            <w:tcW w:w="50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cs="宋体"/>
                <w:sz w:val="24"/>
                <w:szCs w:val="24"/>
                <w:lang w:val="en-US" w:eastAsia="zh-CN"/>
              </w:rPr>
              <w:t>1</w:t>
            </w:r>
          </w:p>
        </w:tc>
        <w:tc>
          <w:tcPr>
            <w:tcW w:w="157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优惠承诺（0-5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评标委员会根据投标人提供的优惠承诺是否符合工程实际情况需求以及确保依法依规，且优惠合理，详实可行，在 0-5 分之间打分。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0" w:hRule="atLeast"/>
          <w:jc w:val="center"/>
        </w:trPr>
        <w:tc>
          <w:tcPr>
            <w:tcW w:w="1897" w:type="dxa"/>
            <w:gridSpan w:val="3"/>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50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default"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2</w:t>
            </w:r>
          </w:p>
        </w:tc>
        <w:tc>
          <w:tcPr>
            <w:tcW w:w="157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履职尽责承</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诺（0-4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具有全面、详实、可行、合法有效的书面保证技术措施落实到位的承诺，其中包括各关键岗位人员（项目负责人及相关技术人员、安全员、施工员、资料员等）的履职尽责承诺，在 0-4 分之间进行打分。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4" w:hRule="atLeast"/>
          <w:jc w:val="center"/>
        </w:trPr>
        <w:tc>
          <w:tcPr>
            <w:tcW w:w="1897" w:type="dxa"/>
            <w:gridSpan w:val="3"/>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50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default"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3</w:t>
            </w:r>
          </w:p>
        </w:tc>
        <w:tc>
          <w:tcPr>
            <w:tcW w:w="157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投标人实力</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（0-7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投标人2017年1月1日以来承揽过类似施工项目业绩的每有1个得 2分，最多得4 分；承揽过类似施工项目业绩的每有1个得1分，最多得3分。（需提供合同等有效证明材料，否则不记分，以合同签订时间为准）</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注：类似项目是指：地质灾害治理类、矿山地质环境治理类等项目。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897" w:type="dxa"/>
            <w:gridSpan w:val="3"/>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p>
        </w:tc>
        <w:tc>
          <w:tcPr>
            <w:tcW w:w="50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default" w:cs="宋体"/>
                <w:color w:val="000000"/>
                <w:kern w:val="0"/>
                <w:sz w:val="24"/>
                <w:szCs w:val="24"/>
                <w:lang w:val="en-US" w:eastAsia="zh-CN" w:bidi="ar"/>
              </w:rPr>
            </w:pPr>
            <w:r>
              <w:rPr>
                <w:rFonts w:hint="eastAsia" w:cs="宋体"/>
                <w:color w:val="000000"/>
                <w:kern w:val="0"/>
                <w:sz w:val="24"/>
                <w:szCs w:val="24"/>
                <w:lang w:val="en-US" w:eastAsia="zh-CN" w:bidi="ar"/>
              </w:rPr>
              <w:t>4</w:t>
            </w:r>
          </w:p>
        </w:tc>
        <w:tc>
          <w:tcPr>
            <w:tcW w:w="157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投入人员</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情况</w:t>
            </w:r>
          </w:p>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（0-4 分）</w:t>
            </w:r>
          </w:p>
        </w:tc>
        <w:tc>
          <w:tcPr>
            <w:tcW w:w="498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Lines="20" w:after="0" w:afterLines="20" w:line="360" w:lineRule="auto"/>
              <w:ind w:left="44" w:leftChars="20" w:right="44" w:rightChars="2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项目部应配备安全员、施工员、资料员、测量员、试验员、质量员、材料员、预算员，每配备一位加 0.5 分，没有不得分（ 提供相应证书 ）。</w:t>
            </w:r>
          </w:p>
        </w:tc>
      </w:tr>
    </w:tbl>
    <w:p>
      <w:pPr>
        <w:keepNext w:val="0"/>
        <w:keepLines w:val="0"/>
        <w:pageBreakBefore w:val="0"/>
        <w:kinsoku/>
        <w:overflowPunct/>
        <w:bidi w:val="0"/>
        <w:adjustRightInd/>
        <w:snapToGrid/>
        <w:spacing w:line="360" w:lineRule="auto"/>
        <w:textAlignment w:val="auto"/>
        <w:outlineLvl w:val="9"/>
        <w:rPr>
          <w:rFonts w:hint="eastAsia" w:ascii="宋体" w:hAnsi="宋体" w:eastAsia="宋体" w:cs="宋体"/>
          <w:b w:val="0"/>
          <w:bCs w:val="0"/>
          <w:sz w:val="24"/>
          <w:szCs w:val="24"/>
        </w:rPr>
      </w:pPr>
      <w:r>
        <w:rPr>
          <w:rFonts w:hint="eastAsia" w:ascii="宋体" w:hAnsi="宋体" w:eastAsia="宋体" w:cs="宋体"/>
        </w:rPr>
        <w:br w:type="page"/>
      </w:r>
      <w:r>
        <w:rPr>
          <w:rFonts w:hint="eastAsia" w:ascii="宋体" w:hAnsi="宋体" w:eastAsia="宋体" w:cs="宋体"/>
        </w:rPr>
        <w:t>注</w:t>
      </w:r>
      <w:r>
        <w:rPr>
          <w:rFonts w:hint="eastAsia" w:ascii="宋体" w:hAnsi="宋体" w:eastAsia="宋体" w:cs="宋体"/>
          <w:b w:val="0"/>
          <w:bCs w:val="0"/>
          <w:sz w:val="24"/>
          <w:szCs w:val="24"/>
        </w:rPr>
        <w:t>：</w:t>
      </w:r>
      <w:r>
        <w:rPr>
          <w:rFonts w:hint="eastAsia" w:cs="宋体"/>
          <w:b w:val="0"/>
          <w:bCs w:val="0"/>
          <w:sz w:val="24"/>
          <w:szCs w:val="24"/>
          <w:lang w:val="en-US" w:eastAsia="zh-CN"/>
        </w:rPr>
        <w:t>1.</w:t>
      </w:r>
      <w:r>
        <w:rPr>
          <w:rFonts w:hint="eastAsia" w:ascii="宋体" w:hAnsi="宋体" w:eastAsia="宋体" w:cs="宋体"/>
          <w:b w:val="0"/>
          <w:bCs w:val="0"/>
          <w:sz w:val="24"/>
          <w:szCs w:val="24"/>
        </w:rPr>
        <w:t>本评标办法中要求与本招标文件中其他处要求不一致的的，以本评标办法为准，若本评标办法中总分值与分项分值不一致时，以分项分值为准。</w:t>
      </w:r>
    </w:p>
    <w:p>
      <w:pPr>
        <w:keepNext w:val="0"/>
        <w:keepLines w:val="0"/>
        <w:pageBreakBefore w:val="0"/>
        <w:widowControl/>
        <w:numPr>
          <w:ilvl w:val="0"/>
          <w:numId w:val="3"/>
        </w:numPr>
        <w:suppressLineNumbers w:val="0"/>
        <w:kinsoku/>
        <w:wordWrap w:val="0"/>
        <w:overflowPunct/>
        <w:topLinePunct/>
        <w:autoSpaceDE/>
        <w:autoSpaceDN/>
        <w:bidi w:val="0"/>
        <w:adjustRightInd/>
        <w:snapToGrid/>
        <w:spacing w:line="360" w:lineRule="auto"/>
        <w:jc w:val="left"/>
        <w:textAlignment w:val="auto"/>
        <w:outlineLvl w:val="9"/>
        <w:rPr>
          <w:rFonts w:hint="eastAsia"/>
        </w:rPr>
      </w:pPr>
      <w:r>
        <w:rPr>
          <w:rFonts w:hint="eastAsia" w:ascii="宋体" w:hAnsi="宋体" w:eastAsia="宋体" w:cs="宋体"/>
          <w:b w:val="0"/>
          <w:bCs w:val="0"/>
          <w:color w:val="000000"/>
          <w:kern w:val="0"/>
          <w:sz w:val="24"/>
          <w:szCs w:val="24"/>
          <w:lang w:val="en-US" w:eastAsia="zh-CN" w:bidi="ar"/>
        </w:rPr>
        <w:t xml:space="preserve">以上证件及证明资料依投标文件中加盖单位电子签章的扫描件为准；各投标人对其填报资料信息的真实有效性负责，否则，责任自负。 </w:t>
      </w:r>
    </w:p>
    <w:p>
      <w:pPr>
        <w:numPr>
          <w:ilvl w:val="0"/>
          <w:numId w:val="3"/>
        </w:numPr>
        <w:ind w:left="0" w:leftChars="0" w:firstLine="0" w:firstLineChars="0"/>
        <w:rPr>
          <w:rFonts w:hint="eastAsia"/>
          <w:highlight w:val="none"/>
        </w:rPr>
      </w:pPr>
      <w:r>
        <w:rPr>
          <w:rFonts w:hint="eastAsia"/>
          <w:highlight w:val="none"/>
        </w:rPr>
        <w:t>对小型 、微型和监狱企业的投标报价给予6% 的扣除，用扣除后的价格参与评审。参加本项目的中小企业应当提供《中小企业声明函》（格式详见《政府采购促进中小企业发展暂行办法》），并同时提供证明材料（相关行业主管部门开具的认定意见或按照 “工信部联企业 [2011]300号 ”文件规定提供的人员、营业收入、资产总额等材料），（ 详见 《 政府采购促进中小企业发展暂行办法》）。没有提供证明材料的供应商将被视为不接受评标报价的扣除，用原投标报价参与评审。监狱企业参加政府采购活动时，应当提供由省级以上监狱管理局、戒毒管理局（含新疆生产建设兵团 ）出具的属于监狱企业的证明文件。</w:t>
      </w:r>
    </w:p>
    <w:p>
      <w:pPr>
        <w:rPr>
          <w:rFonts w:hint="eastAsia"/>
          <w:highlight w:val="none"/>
        </w:rPr>
      </w:pPr>
      <w:r>
        <w:rPr>
          <w:rFonts w:hint="eastAsia"/>
          <w:highlight w:val="none"/>
        </w:rPr>
        <w:t>上述给予6% 的扣除的企业是指投标企业与所投标主要产品均为小型、微型和监狱企业才可享受该政策。</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1.  评标方法</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由招标人或其授权的评标委员会自行确定。</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  评审标准</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  初步评审标准</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2.1.1 资格评审标准：见评标办法前附表。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2.1.2 形式评审标准：见评标办法前附表。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2.1.3 响应性评审标准：见评标办法前附表。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  分值构成与评分标准</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2.2.1 分值构成</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（1）商务标：见评标办法前附表；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（2）综合标：见评标办法前附表；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（3）技术标：见评标办法前附表。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2.2.2 评标基准价计算</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评标基准价计算方法：见评标办法前附表。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2.2.3 投标报价的偏差率计算</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投标报价的偏差率计算公式：见评标办法前附表。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2.2.4 评分标准</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（1）商务标：见评标办法前附表；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（2）综合标：见评标办法前附表；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（3）技术标：见评标办法前附表。</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  评标程序</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  初步评审</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3.1.1 评标委员会依据本章第 2.1 款规定的标准对投标文件进行初步评审。有一项不符合评审标准的，评标委员会应当否决其投标。</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3.1.2 投标人有以下情形之一的，评标委员会应当否决其投标：</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（1）第二章“投标人须知”第 1.4.2 项、第 1.4.3 项规定的任何一种情形的；</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（2）串通投标或弄虚作假或有其他违法行为的；</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（3）不按评标委员会要求澄清、说明或补正的。</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3.1.3 投标报价有算术错误的，评标委员会按以下原则对投标报价进行修正，修正的价格经投标人书面确认后具有约束力。投标人不接受修正价格的，评标委员会应当否决其投标。</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（1）投标文件中的大写金额与小写金额不一致的，以大写金额为准；</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（2）总价金额与依据单价计算出的结果不一致的，以单价金额为准修正总价，但单价金额小数点有明显错误的除外。</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  详细评审</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3.2.1 评标委员会按本章第 2.2 款规定的量化因素和分值进行打分，并计算出综合评估得分。</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（1）按本章第 2.2.4（1）目规定的评审因素和分值对商务标计算出得分 A；</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（2）按本章第 2.2.4（2）目规定的评审因素和分值对综合标计算出得分 B；</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（3）按本章第 2.2.4（3）目规定的评审因素和分值对技术标计算出得分 C；</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3.2.2 评分分值计算保留小数点后两位，小数点后第三位“四舍五入”。</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3.2.3 投标人得分=A+B+C（注：投标人最终得分为各评标委员会成员评分合计的算术平均值）。</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  投标文件的澄清和补正</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3.3.1 在评标过程中，评标委员会可以书面形式要求投标人对所提交投标文件中不明确的内容进行书面澄清或说明，或者对细微偏差进行补正。评标委员会不接受投标人主动提出的澄清、说明或补正。</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3.3.2 澄清、说明和补正不得改变投标文件的实质性内容。投标人的书面澄清、说明和补正属于投标文件的组成部分。</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3.3.3 评标委员会对投标人提交的澄清、说明或补正有疑问的，可以要求投标人进一步澄清、说明或补正，直至满足评标委员会的要求。</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3.4  评标结果</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3.4.1 除第二章“投标人须知”前附表授权直接确定中标人外，评标委员会按照得分由高到低的顺序推荐中标候选人。</w:t>
      </w:r>
    </w:p>
    <w:p>
      <w:pPr>
        <w:keepNext w:val="0"/>
        <w:keepLines w:val="0"/>
        <w:pageBreakBefore w:val="0"/>
        <w:widowControl/>
        <w:suppressLineNumbers w:val="0"/>
        <w:kinsoku/>
        <w:wordWrap w:val="0"/>
        <w:overflowPunct/>
        <w:topLinePunct/>
        <w:autoSpaceDE/>
        <w:autoSpaceDN/>
        <w:bidi w:val="0"/>
        <w:adjustRightInd/>
        <w:snapToGrid/>
        <w:spacing w:line="360" w:lineRule="auto"/>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3.4.2 评标委员会完成评标后，应当向招标人提交书面评标报告。</w:t>
      </w:r>
    </w:p>
    <w:p>
      <w:pPr>
        <w:keepNext w:val="0"/>
        <w:keepLines w:val="0"/>
        <w:pageBreakBefore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0"/>
        <w:rPr>
          <w:rFonts w:hint="eastAsia" w:ascii="宋体" w:hAnsi="宋体" w:eastAsia="宋体" w:cs="宋体"/>
          <w:b/>
          <w:color w:val="000000"/>
          <w:kern w:val="0"/>
          <w:sz w:val="31"/>
          <w:szCs w:val="31"/>
          <w:lang w:val="en-US" w:eastAsia="zh-CN" w:bidi="ar"/>
        </w:rPr>
      </w:pPr>
      <w:bookmarkStart w:id="9" w:name="_Toc872"/>
      <w:bookmarkStart w:id="10" w:name="_Toc7832"/>
      <w:r>
        <w:rPr>
          <w:rFonts w:hint="eastAsia" w:ascii="宋体" w:hAnsi="宋体" w:eastAsia="宋体" w:cs="宋体"/>
          <w:b/>
          <w:color w:val="000000"/>
          <w:kern w:val="0"/>
          <w:sz w:val="31"/>
          <w:szCs w:val="31"/>
          <w:lang w:val="en-US" w:eastAsia="zh-CN" w:bidi="ar"/>
        </w:rPr>
        <w:t>第四章合同条款及格式</w:t>
      </w:r>
      <w:bookmarkEnd w:id="9"/>
      <w:bookmarkEnd w:id="10"/>
    </w:p>
    <w:p>
      <w:pPr>
        <w:keepNext w:val="0"/>
        <w:keepLines w:val="0"/>
        <w:widowControl/>
        <w:suppressLineNumbers w:val="0"/>
        <w:kinsoku/>
        <w:wordWrap/>
        <w:overflowPunct/>
        <w:topLinePunct w:val="0"/>
        <w:autoSpaceDE w:val="0"/>
        <w:autoSpaceDN w:val="0"/>
        <w:bidi w:val="0"/>
        <w:adjustRightInd/>
        <w:snapToGrid/>
        <w:jc w:val="left"/>
        <w:textAlignment w:val="auto"/>
        <w:outlineLvl w:val="9"/>
        <w:rPr>
          <w:rFonts w:hint="eastAsia" w:ascii="宋体" w:hAnsi="宋体" w:eastAsia="宋体" w:cs="宋体"/>
        </w:rPr>
      </w:pPr>
      <w:r>
        <w:rPr>
          <w:rFonts w:hint="eastAsia" w:ascii="宋体" w:hAnsi="宋体" w:eastAsia="宋体" w:cs="宋体"/>
          <w:b/>
          <w:color w:val="000000"/>
          <w:kern w:val="0"/>
          <w:sz w:val="31"/>
          <w:szCs w:val="31"/>
          <w:lang w:val="en-US" w:eastAsia="zh-CN" w:bidi="ar"/>
        </w:rPr>
        <w:t>（参考版）</w:t>
      </w:r>
    </w:p>
    <w:p>
      <w:pPr>
        <w:keepNext w:val="0"/>
        <w:keepLines w:val="0"/>
        <w:numPr>
          <w:ilvl w:val="2"/>
          <w:numId w:val="0"/>
        </w:numPr>
        <w:kinsoku/>
        <w:wordWrap/>
        <w:overflowPunct/>
        <w:topLinePunct w:val="0"/>
        <w:autoSpaceDE w:val="0"/>
        <w:autoSpaceDN w:val="0"/>
        <w:bidi w:val="0"/>
        <w:adjustRightInd/>
        <w:snapToGrid/>
        <w:spacing w:before="0" w:after="0" w:line="460" w:lineRule="exact"/>
        <w:ind w:left="459"/>
        <w:jc w:val="center"/>
        <w:textAlignment w:val="auto"/>
        <w:outlineLvl w:val="9"/>
        <w:rPr>
          <w:rFonts w:hint="eastAsia" w:ascii="宋体" w:hAnsi="宋体" w:eastAsia="宋体" w:cs="宋体"/>
          <w:bCs w:val="0"/>
          <w:sz w:val="28"/>
          <w:szCs w:val="28"/>
        </w:rPr>
      </w:pPr>
      <w:bookmarkStart w:id="11" w:name="_Toc18232"/>
      <w:r>
        <w:rPr>
          <w:rFonts w:hint="eastAsia" w:ascii="宋体" w:hAnsi="宋体" w:eastAsia="宋体" w:cs="宋体"/>
          <w:bCs w:val="0"/>
          <w:sz w:val="28"/>
          <w:szCs w:val="28"/>
        </w:rPr>
        <w:t>第一部分 合同协议书</w:t>
      </w:r>
      <w:bookmarkEnd w:id="11"/>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发包人（全称）：</w:t>
      </w:r>
      <w:r>
        <w:rPr>
          <w:rFonts w:hint="eastAsia" w:ascii="宋体" w:hAnsi="宋体" w:eastAsia="宋体" w:cs="宋体"/>
          <w:kern w:val="0"/>
          <w:szCs w:val="21"/>
          <w:u w:val="single"/>
        </w:rPr>
        <w:t>                      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承包人（全称）：</w:t>
      </w:r>
      <w:r>
        <w:rPr>
          <w:rFonts w:hint="eastAsia" w:ascii="宋体" w:hAnsi="宋体" w:eastAsia="宋体" w:cs="宋体"/>
          <w:kern w:val="0"/>
          <w:szCs w:val="21"/>
          <w:u w:val="single"/>
        </w:rPr>
        <w:t>                      </w:t>
      </w:r>
    </w:p>
    <w:p>
      <w:pPr>
        <w:keepNext w:val="0"/>
        <w:keepLines w:val="0"/>
        <w:kinsoku/>
        <w:wordWrap/>
        <w:overflowPunct/>
        <w:topLinePunct w:val="0"/>
        <w:autoSpaceDE w:val="0"/>
        <w:autoSpaceDN w:val="0"/>
        <w:bidi w:val="0"/>
        <w:adjustRightInd/>
        <w:snapToGrid/>
        <w:spacing w:line="480" w:lineRule="exact"/>
        <w:ind w:firstLine="550" w:firstLineChars="250"/>
        <w:textAlignment w:val="auto"/>
        <w:outlineLvl w:val="9"/>
        <w:rPr>
          <w:rFonts w:hint="eastAsia" w:ascii="宋体" w:hAnsi="宋体" w:eastAsia="宋体" w:cs="宋体"/>
          <w:kern w:val="0"/>
          <w:szCs w:val="21"/>
          <w:u w:val="single"/>
        </w:rPr>
      </w:pPr>
      <w:r>
        <w:rPr>
          <w:rFonts w:hint="eastAsia" w:ascii="宋体" w:hAnsi="宋体" w:eastAsia="宋体" w:cs="宋体"/>
          <w:kern w:val="0"/>
          <w:szCs w:val="21"/>
        </w:rPr>
        <w:t>根据《中华人民共和国合同法》、《中华人民共和国建筑法》及有关法律规定，遵循平等、自愿、公平和诚实信用的原则，双方就</w:t>
      </w:r>
      <w:r>
        <w:rPr>
          <w:rFonts w:hint="eastAsia" w:ascii="宋体" w:hAnsi="宋体" w:eastAsia="宋体" w:cs="宋体"/>
          <w:kern w:val="0"/>
          <w:szCs w:val="21"/>
          <w:u w:val="single"/>
        </w:rPr>
        <w:t xml:space="preserve">                    </w:t>
      </w:r>
      <w:r>
        <w:rPr>
          <w:rFonts w:hint="eastAsia" w:ascii="宋体" w:hAnsi="宋体" w:eastAsia="宋体" w:cs="宋体"/>
          <w:kern w:val="0"/>
          <w:szCs w:val="21"/>
        </w:rPr>
        <w:t>工程施工及有关事项协商一致，共同达成如下协议：</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一、工程概况</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1.工程名称：</w:t>
      </w:r>
      <w:r>
        <w:rPr>
          <w:rFonts w:hint="eastAsia" w:ascii="宋体" w:hAnsi="宋体" w:eastAsia="宋体" w:cs="宋体"/>
          <w:kern w:val="0"/>
          <w:szCs w:val="21"/>
          <w:u w:val="single"/>
        </w:rPr>
        <w:t>      </w:t>
      </w:r>
      <w:r>
        <w:rPr>
          <w:rFonts w:hint="eastAsia" w:ascii="宋体" w:hAnsi="宋体" w:eastAsia="宋体" w:cs="宋体"/>
          <w:kern w:val="0"/>
          <w:szCs w:val="21"/>
        </w:rPr>
        <w:t xml:space="preserve">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2.工程地点：</w:t>
      </w:r>
      <w:r>
        <w:rPr>
          <w:rFonts w:hint="eastAsia" w:ascii="宋体" w:hAnsi="宋体" w:eastAsia="宋体" w:cs="宋体"/>
          <w:kern w:val="0"/>
          <w:szCs w:val="21"/>
          <w:u w:val="single"/>
        </w:rPr>
        <w:t>      </w:t>
      </w:r>
      <w:r>
        <w:rPr>
          <w:rFonts w:hint="eastAsia" w:ascii="宋体" w:hAnsi="宋体" w:eastAsia="宋体" w:cs="宋体"/>
          <w:kern w:val="0"/>
          <w:szCs w:val="21"/>
        </w:rPr>
        <w:t xml:space="preserve">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3.工程立项批准文号：</w:t>
      </w:r>
      <w:r>
        <w:rPr>
          <w:rFonts w:hint="eastAsia" w:ascii="宋体" w:hAnsi="宋体" w:eastAsia="宋体" w:cs="宋体"/>
          <w:kern w:val="0"/>
          <w:szCs w:val="21"/>
          <w:u w:val="single"/>
        </w:rPr>
        <w:t>      </w:t>
      </w:r>
      <w:r>
        <w:rPr>
          <w:rFonts w:hint="eastAsia" w:ascii="宋体" w:hAnsi="宋体" w:eastAsia="宋体" w:cs="宋体"/>
          <w:kern w:val="0"/>
          <w:szCs w:val="21"/>
        </w:rPr>
        <w:t xml:space="preserve">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4.资金来源：</w:t>
      </w:r>
      <w:r>
        <w:rPr>
          <w:rFonts w:hint="eastAsia" w:ascii="宋体" w:hAnsi="宋体" w:eastAsia="宋体" w:cs="宋体"/>
          <w:kern w:val="0"/>
          <w:szCs w:val="21"/>
          <w:u w:val="single"/>
        </w:rPr>
        <w:t>      </w:t>
      </w:r>
      <w:r>
        <w:rPr>
          <w:rFonts w:hint="eastAsia" w:ascii="宋体" w:hAnsi="宋体" w:eastAsia="宋体" w:cs="宋体"/>
          <w:kern w:val="0"/>
          <w:szCs w:val="21"/>
        </w:rPr>
        <w:t xml:space="preserve">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5.工程内容：</w:t>
      </w:r>
      <w:r>
        <w:rPr>
          <w:rFonts w:hint="eastAsia" w:ascii="宋体" w:hAnsi="宋体" w:eastAsia="宋体" w:cs="宋体"/>
          <w:kern w:val="0"/>
          <w:szCs w:val="21"/>
          <w:u w:val="single"/>
        </w:rPr>
        <w:t>      </w:t>
      </w:r>
      <w:r>
        <w:rPr>
          <w:rFonts w:hint="eastAsia" w:ascii="宋体" w:hAnsi="宋体" w:eastAsia="宋体" w:cs="宋体"/>
          <w:kern w:val="0"/>
          <w:szCs w:val="21"/>
        </w:rPr>
        <w:t xml:space="preserve">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群体工程应附《承包人承揽工程项目一览表》（附件1）。</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6.工程承包范围：</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二、合同工期</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计划开工日期：</w:t>
      </w:r>
      <w:r>
        <w:rPr>
          <w:rFonts w:hint="eastAsia" w:ascii="宋体" w:hAnsi="宋体" w:eastAsia="宋体" w:cs="宋体"/>
          <w:kern w:val="0"/>
          <w:szCs w:val="21"/>
          <w:u w:val="single"/>
        </w:rPr>
        <w:t></w:t>
      </w:r>
      <w:r>
        <w:rPr>
          <w:rFonts w:hint="eastAsia" w:ascii="宋体" w:hAnsi="宋体" w:eastAsia="宋体" w:cs="宋体"/>
          <w:kern w:val="0"/>
          <w:szCs w:val="21"/>
        </w:rPr>
        <w:t>年</w:t>
      </w:r>
      <w:r>
        <w:rPr>
          <w:rFonts w:hint="eastAsia" w:ascii="宋体" w:hAnsi="宋体" w:eastAsia="宋体" w:cs="宋体"/>
          <w:kern w:val="0"/>
          <w:szCs w:val="21"/>
          <w:u w:val="single"/>
        </w:rPr>
        <w:t></w:t>
      </w:r>
      <w:r>
        <w:rPr>
          <w:rFonts w:hint="eastAsia" w:ascii="宋体" w:hAnsi="宋体" w:eastAsia="宋体" w:cs="宋体"/>
          <w:kern w:val="0"/>
          <w:szCs w:val="21"/>
        </w:rPr>
        <w:t>月</w:t>
      </w:r>
      <w:r>
        <w:rPr>
          <w:rFonts w:hint="eastAsia" w:ascii="宋体" w:hAnsi="宋体" w:eastAsia="宋体" w:cs="宋体"/>
          <w:kern w:val="0"/>
          <w:szCs w:val="21"/>
          <w:u w:val="single"/>
        </w:rPr>
        <w:t></w:t>
      </w:r>
      <w:r>
        <w:rPr>
          <w:rFonts w:hint="eastAsia" w:ascii="宋体" w:hAnsi="宋体" w:eastAsia="宋体" w:cs="宋体"/>
          <w:kern w:val="0"/>
          <w:szCs w:val="21"/>
        </w:rPr>
        <w:t>日。</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计划竣工日期：</w:t>
      </w:r>
      <w:r>
        <w:rPr>
          <w:rFonts w:hint="eastAsia" w:ascii="宋体" w:hAnsi="宋体" w:eastAsia="宋体" w:cs="宋体"/>
          <w:kern w:val="0"/>
          <w:szCs w:val="21"/>
          <w:u w:val="single"/>
        </w:rPr>
        <w:t></w:t>
      </w:r>
      <w:r>
        <w:rPr>
          <w:rFonts w:hint="eastAsia" w:ascii="宋体" w:hAnsi="宋体" w:eastAsia="宋体" w:cs="宋体"/>
          <w:kern w:val="0"/>
          <w:szCs w:val="21"/>
        </w:rPr>
        <w:t>年</w:t>
      </w:r>
      <w:r>
        <w:rPr>
          <w:rFonts w:hint="eastAsia" w:ascii="宋体" w:hAnsi="宋体" w:eastAsia="宋体" w:cs="宋体"/>
          <w:kern w:val="0"/>
          <w:szCs w:val="21"/>
          <w:u w:val="single"/>
        </w:rPr>
        <w:t></w:t>
      </w:r>
      <w:r>
        <w:rPr>
          <w:rFonts w:hint="eastAsia" w:ascii="宋体" w:hAnsi="宋体" w:eastAsia="宋体" w:cs="宋体"/>
          <w:kern w:val="0"/>
          <w:szCs w:val="21"/>
        </w:rPr>
        <w:t>月</w:t>
      </w:r>
      <w:r>
        <w:rPr>
          <w:rFonts w:hint="eastAsia" w:ascii="宋体" w:hAnsi="宋体" w:eastAsia="宋体" w:cs="宋体"/>
          <w:kern w:val="0"/>
          <w:szCs w:val="21"/>
          <w:u w:val="single"/>
        </w:rPr>
        <w:t></w:t>
      </w:r>
      <w:r>
        <w:rPr>
          <w:rFonts w:hint="eastAsia" w:ascii="宋体" w:hAnsi="宋体" w:eastAsia="宋体" w:cs="宋体"/>
          <w:kern w:val="0"/>
          <w:szCs w:val="21"/>
        </w:rPr>
        <w:t>日。</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工期总日历天数：</w:t>
      </w:r>
      <w:r>
        <w:rPr>
          <w:rFonts w:hint="eastAsia" w:ascii="宋体" w:hAnsi="宋体" w:eastAsia="宋体" w:cs="宋体"/>
          <w:kern w:val="0"/>
          <w:szCs w:val="21"/>
          <w:u w:val="single"/>
        </w:rPr>
        <w:t></w:t>
      </w:r>
      <w:r>
        <w:rPr>
          <w:rFonts w:hint="eastAsia" w:ascii="宋体" w:hAnsi="宋体" w:eastAsia="宋体" w:cs="宋体"/>
          <w:kern w:val="0"/>
          <w:szCs w:val="21"/>
        </w:rPr>
        <w:t>天。工期总日历天数与根据前述计划开竣工日期计算的工期天数不一致的，以工期总日历天数为准。</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三、质量标准</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工程质量符合</w:t>
      </w:r>
      <w:r>
        <w:rPr>
          <w:rFonts w:hint="eastAsia" w:ascii="宋体" w:hAnsi="宋体" w:eastAsia="宋体" w:cs="宋体"/>
          <w:kern w:val="0"/>
          <w:szCs w:val="21"/>
          <w:u w:val="single"/>
        </w:rPr>
        <w:t></w:t>
      </w:r>
      <w:r>
        <w:rPr>
          <w:rFonts w:hint="eastAsia" w:ascii="宋体" w:hAnsi="宋体" w:eastAsia="宋体" w:cs="宋体"/>
          <w:kern w:val="0"/>
          <w:szCs w:val="21"/>
        </w:rPr>
        <w:t>标准。</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四、签约合同价与合同价格形式</w:t>
      </w:r>
      <w:r>
        <w:rPr>
          <w:rFonts w:hint="eastAsia" w:ascii="宋体" w:hAnsi="宋体" w:eastAsia="宋体" w:cs="宋体"/>
          <w:kern w:val="0"/>
          <w:szCs w:val="21"/>
        </w:rPr>
        <w:tab/>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1.签约合同价为：</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人民币（大写）</w:t>
      </w:r>
      <w:r>
        <w:rPr>
          <w:rFonts w:hint="eastAsia" w:ascii="宋体" w:hAnsi="宋体" w:eastAsia="宋体" w:cs="宋体"/>
          <w:kern w:val="0"/>
          <w:szCs w:val="21"/>
          <w:u w:val="single"/>
        </w:rPr>
        <w:t xml:space="preserve">                 </w:t>
      </w:r>
      <w:r>
        <w:rPr>
          <w:rFonts w:hint="eastAsia" w:ascii="宋体" w:hAnsi="宋体" w:eastAsia="宋体" w:cs="宋体"/>
          <w:kern w:val="0"/>
          <w:szCs w:val="21"/>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元)；</w:t>
      </w:r>
    </w:p>
    <w:p>
      <w:pPr>
        <w:keepNext w:val="0"/>
        <w:keepLines w:val="0"/>
        <w:pageBreakBefore w:val="0"/>
        <w:widowControl w:val="0"/>
        <w:kinsoku/>
        <w:wordWrap/>
        <w:overflowPunct/>
        <w:topLinePunct w:val="0"/>
        <w:autoSpaceDE w:val="0"/>
        <w:autoSpaceDN w:val="0"/>
        <w:bidi w:val="0"/>
        <w:adjustRightInd/>
        <w:snapToGrid/>
        <w:spacing w:after="0"/>
        <w:jc w:val="center"/>
        <w:textAlignment w:val="auto"/>
        <w:outlineLvl w:val="9"/>
        <w:rPr>
          <w:rFonts w:hint="eastAsia" w:ascii="宋体" w:hAnsi="宋体" w:eastAsia="宋体" w:cs="宋体"/>
        </w:rPr>
      </w:pP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其中：</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（1）安全文明施工费：</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人民币（大写）</w:t>
      </w:r>
      <w:r>
        <w:rPr>
          <w:rFonts w:hint="eastAsia" w:ascii="宋体" w:hAnsi="宋体" w:eastAsia="宋体" w:cs="宋体"/>
          <w:kern w:val="0"/>
          <w:szCs w:val="21"/>
          <w:u w:val="single"/>
        </w:rPr>
        <w:t xml:space="preserve">               </w:t>
      </w:r>
      <w:r>
        <w:rPr>
          <w:rFonts w:hint="eastAsia" w:ascii="宋体" w:hAnsi="宋体" w:eastAsia="宋体" w:cs="宋体"/>
          <w:kern w:val="0"/>
          <w:szCs w:val="21"/>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元)；</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（2）材料和工程设备暂估价金额：</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人民币（大写）</w:t>
      </w:r>
      <w:r>
        <w:rPr>
          <w:rFonts w:hint="eastAsia" w:ascii="宋体" w:hAnsi="宋体" w:eastAsia="宋体" w:cs="宋体"/>
          <w:kern w:val="0"/>
          <w:szCs w:val="21"/>
          <w:u w:val="single"/>
        </w:rPr>
        <w:t xml:space="preserve">               </w:t>
      </w:r>
      <w:r>
        <w:rPr>
          <w:rFonts w:hint="eastAsia" w:ascii="宋体" w:hAnsi="宋体" w:eastAsia="宋体" w:cs="宋体"/>
          <w:kern w:val="0"/>
          <w:szCs w:val="21"/>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元)；</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（3）专业工程暂估价金额：</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人民币（大写）</w:t>
      </w:r>
      <w:r>
        <w:rPr>
          <w:rFonts w:hint="eastAsia" w:ascii="宋体" w:hAnsi="宋体" w:eastAsia="宋体" w:cs="宋体"/>
          <w:kern w:val="0"/>
          <w:szCs w:val="21"/>
          <w:u w:val="single"/>
        </w:rPr>
        <w:t xml:space="preserve">               </w:t>
      </w:r>
      <w:r>
        <w:rPr>
          <w:rFonts w:hint="eastAsia" w:ascii="宋体" w:hAnsi="宋体" w:eastAsia="宋体" w:cs="宋体"/>
          <w:kern w:val="0"/>
          <w:szCs w:val="21"/>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元)；</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（4）暂列金额：</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人民币（大写）</w:t>
      </w:r>
      <w:r>
        <w:rPr>
          <w:rFonts w:hint="eastAsia" w:ascii="宋体" w:hAnsi="宋体" w:eastAsia="宋体" w:cs="宋体"/>
          <w:kern w:val="0"/>
          <w:szCs w:val="21"/>
          <w:u w:val="single"/>
        </w:rPr>
        <w:t xml:space="preserve">               </w:t>
      </w:r>
      <w:r>
        <w:rPr>
          <w:rFonts w:hint="eastAsia" w:ascii="宋体" w:hAnsi="宋体" w:eastAsia="宋体" w:cs="宋体"/>
          <w:kern w:val="0"/>
          <w:szCs w:val="21"/>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元)。</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2.合同价格形式：</w:t>
      </w:r>
      <w:r>
        <w:rPr>
          <w:rFonts w:hint="eastAsia" w:ascii="宋体" w:hAnsi="宋体" w:eastAsia="宋体" w:cs="宋体"/>
          <w:kern w:val="0"/>
          <w:szCs w:val="21"/>
          <w:u w:val="single"/>
        </w:rPr>
        <w:t xml:space="preserve">                      </w:t>
      </w:r>
      <w:r>
        <w:rPr>
          <w:rFonts w:hint="eastAsia" w:ascii="宋体" w:hAnsi="宋体" w:eastAsia="宋体" w:cs="宋体"/>
          <w:kern w:val="0"/>
          <w:szCs w:val="21"/>
        </w:rPr>
        <w:t>。</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五、项目经理</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承包人项目经理：</w:t>
      </w:r>
      <w:r>
        <w:rPr>
          <w:rFonts w:hint="eastAsia" w:ascii="宋体" w:hAnsi="宋体" w:eastAsia="宋体" w:cs="宋体"/>
          <w:kern w:val="0"/>
          <w:szCs w:val="21"/>
          <w:u w:val="single"/>
        </w:rPr>
        <w:t>                     </w:t>
      </w:r>
      <w:r>
        <w:rPr>
          <w:rFonts w:hint="eastAsia" w:ascii="宋体" w:hAnsi="宋体" w:eastAsia="宋体" w:cs="宋体"/>
          <w:kern w:val="0"/>
          <w:szCs w:val="21"/>
        </w:rPr>
        <w:t>。</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六、合同文件构成</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本协议书与下列文件一起构成合同文件：</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（1）本合同协议书</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（2）中标通知书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（3）本合同专用条款及合同附件；</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（4）通用合同条款；</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（5）市政工程质量保修书；</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（6）本工程招标文件及澄清文件、答疑等；</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（7）投标书及其附件；</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（8）标准、规范及有关技术文件；</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在合同订立及履行过程中形成的与合同有关的文件均构成合同文件组成部分。</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上述各项合同文件包括合同当事人就该项合同文件所作出的补充和修改，属于同一类内容的文件，应以最新签署的为准。专用合同条款及其附件须经合同当事人签字或盖章。</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七、承诺</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1.发包人承诺按照法律规定履行项目审批手续、筹集工程建设资金并按照合同约定的期限和方式支付合同价款。</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2.承包人承诺按照法律规定及合同约定组织完成工程施工，确保工程质量和安全，不进行转包及违法分包，并在缺陷责任期及保修期内承担相应的工程维修责任。</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3.发包人和承包人通过招投标形式签订合同的，双方理解并承诺不再就同一工程另行签订与合同实质性内容相背离的协议。</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八、词语含义</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本协议书中词语含义与第二部分通用合同条款中赋予的含义相同。</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九、签订时间</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本合同于</w:t>
      </w: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 年</w:t>
      </w:r>
      <w:r>
        <w:rPr>
          <w:rFonts w:hint="eastAsia" w:ascii="宋体" w:hAnsi="宋体" w:eastAsia="宋体" w:cs="宋体"/>
          <w:kern w:val="0"/>
          <w:szCs w:val="21"/>
          <w:u w:val="single"/>
        </w:rPr>
        <w:t xml:space="preserve">      </w:t>
      </w:r>
      <w:r>
        <w:rPr>
          <w:rFonts w:hint="eastAsia" w:ascii="宋体" w:hAnsi="宋体" w:eastAsia="宋体" w:cs="宋体"/>
          <w:kern w:val="0"/>
          <w:szCs w:val="21"/>
        </w:rPr>
        <w:t>月</w:t>
      </w:r>
      <w:r>
        <w:rPr>
          <w:rFonts w:hint="eastAsia" w:ascii="宋体" w:hAnsi="宋体" w:eastAsia="宋体" w:cs="宋体"/>
          <w:kern w:val="0"/>
          <w:szCs w:val="21"/>
          <w:u w:val="single"/>
        </w:rPr>
        <w:t xml:space="preserve">     </w:t>
      </w:r>
      <w:r>
        <w:rPr>
          <w:rFonts w:hint="eastAsia" w:ascii="宋体" w:hAnsi="宋体" w:eastAsia="宋体" w:cs="宋体"/>
          <w:kern w:val="0"/>
          <w:szCs w:val="21"/>
        </w:rPr>
        <w:t>日签订。</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十、签订地点</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本合同在</w:t>
      </w:r>
      <w:r>
        <w:rPr>
          <w:rFonts w:hint="eastAsia" w:ascii="宋体" w:hAnsi="宋体" w:eastAsia="宋体" w:cs="宋体"/>
          <w:kern w:val="0"/>
          <w:szCs w:val="21"/>
          <w:u w:val="single"/>
        </w:rPr>
        <w:t xml:space="preserve">                                    </w:t>
      </w:r>
      <w:r>
        <w:rPr>
          <w:rFonts w:hint="eastAsia" w:ascii="宋体" w:hAnsi="宋体" w:eastAsia="宋体" w:cs="宋体"/>
          <w:kern w:val="0"/>
          <w:szCs w:val="21"/>
        </w:rPr>
        <w:t>签订。</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十一、补充协议</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合同未尽事宜，合同当事人另行签订补充协议，补充协议是合同的组成部分。</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十二、合同生效</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本合同自 </w:t>
      </w:r>
      <w:r>
        <w:rPr>
          <w:rFonts w:hint="eastAsia" w:ascii="宋体" w:hAnsi="宋体" w:eastAsia="宋体" w:cs="宋体"/>
          <w:kern w:val="0"/>
          <w:szCs w:val="21"/>
          <w:u w:val="single"/>
        </w:rPr>
        <w:t xml:space="preserve">                                  </w:t>
      </w:r>
      <w:r>
        <w:rPr>
          <w:rFonts w:hint="eastAsia" w:ascii="宋体" w:hAnsi="宋体" w:eastAsia="宋体" w:cs="宋体"/>
          <w:kern w:val="0"/>
          <w:szCs w:val="21"/>
        </w:rPr>
        <w:t>生效。</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十三、合同份数</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本合同一式</w:t>
      </w:r>
      <w:r>
        <w:rPr>
          <w:rFonts w:hint="eastAsia" w:ascii="宋体" w:hAnsi="宋体" w:eastAsia="宋体" w:cs="宋体"/>
          <w:kern w:val="0"/>
          <w:szCs w:val="21"/>
          <w:u w:val="single"/>
        </w:rPr>
        <w:t xml:space="preserve">    </w:t>
      </w:r>
      <w:r>
        <w:rPr>
          <w:rFonts w:hint="eastAsia" w:ascii="宋体" w:hAnsi="宋体" w:eastAsia="宋体" w:cs="宋体"/>
          <w:kern w:val="0"/>
          <w:szCs w:val="21"/>
        </w:rPr>
        <w:t>份，均具有同等法律效力，发包人执</w:t>
      </w:r>
      <w:r>
        <w:rPr>
          <w:rFonts w:hint="eastAsia" w:ascii="宋体" w:hAnsi="宋体" w:eastAsia="宋体" w:cs="宋体"/>
          <w:kern w:val="0"/>
          <w:szCs w:val="21"/>
          <w:u w:val="single"/>
        </w:rPr>
        <w:t xml:space="preserve">    </w:t>
      </w:r>
      <w:r>
        <w:rPr>
          <w:rFonts w:hint="eastAsia" w:ascii="宋体" w:hAnsi="宋体" w:eastAsia="宋体" w:cs="宋体"/>
          <w:kern w:val="0"/>
          <w:szCs w:val="21"/>
        </w:rPr>
        <w:t>份，承包人执</w:t>
      </w:r>
      <w:r>
        <w:rPr>
          <w:rFonts w:hint="eastAsia" w:ascii="宋体" w:hAnsi="宋体" w:eastAsia="宋体" w:cs="宋体"/>
          <w:kern w:val="0"/>
          <w:szCs w:val="21"/>
          <w:u w:val="single"/>
        </w:rPr>
        <w:t xml:space="preserve">    </w:t>
      </w:r>
      <w:r>
        <w:rPr>
          <w:rFonts w:hint="eastAsia" w:ascii="宋体" w:hAnsi="宋体" w:eastAsia="宋体" w:cs="宋体"/>
          <w:kern w:val="0"/>
          <w:szCs w:val="21"/>
        </w:rPr>
        <w:t>份。</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发包人：  (公章)             承包人：  (公章)</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法定代表人或其委托代理人：  法定代表人或其委托代理人：</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（签字）                    （签字）</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组织机构代码：         组织机构代码：  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地  址：       地  址：  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邮政编码：       邮政编码：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法定代表人：             法定代表人：      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委托代理人：             委托代理人：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电  话：     电  话：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传  真：     传  真：  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电子信箱：                   电子信箱：   </w:t>
      </w:r>
    </w:p>
    <w:p>
      <w:pPr>
        <w:keepNext w:val="0"/>
        <w:keepLines w:val="0"/>
        <w:kinsoku/>
        <w:wordWrap/>
        <w:overflowPunct/>
        <w:topLinePunct w:val="0"/>
        <w:autoSpaceDE w:val="0"/>
        <w:autoSpaceDN w:val="0"/>
        <w:bidi w:val="0"/>
        <w:adjustRightInd/>
        <w:snapToGrid/>
        <w:spacing w:line="480" w:lineRule="exact"/>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开户银行：     开户银行：   </w:t>
      </w:r>
    </w:p>
    <w:p>
      <w:pPr>
        <w:keepNext w:val="0"/>
        <w:keepLines w:val="0"/>
        <w:pageBreakBefore w:val="0"/>
        <w:widowControl w:val="0"/>
        <w:kinsoku/>
        <w:wordWrap/>
        <w:overflowPunct/>
        <w:topLinePunct w:val="0"/>
        <w:autoSpaceDE w:val="0"/>
        <w:autoSpaceDN w:val="0"/>
        <w:bidi w:val="0"/>
        <w:adjustRightInd/>
        <w:snapToGrid/>
        <w:spacing w:after="0"/>
        <w:jc w:val="both"/>
        <w:textAlignment w:val="auto"/>
        <w:outlineLvl w:val="9"/>
        <w:rPr>
          <w:rFonts w:hint="eastAsia" w:ascii="宋体" w:hAnsi="宋体" w:eastAsia="宋体" w:cs="宋体"/>
          <w:kern w:val="0"/>
          <w:szCs w:val="21"/>
        </w:rPr>
      </w:pPr>
      <w:r>
        <w:rPr>
          <w:rFonts w:hint="eastAsia" w:ascii="宋体" w:hAnsi="宋体" w:eastAsia="宋体" w:cs="宋体"/>
          <w:kern w:val="0"/>
          <w:szCs w:val="21"/>
        </w:rPr>
        <w:t xml:space="preserve">账  号：          账  号： </w:t>
      </w:r>
    </w:p>
    <w:p>
      <w:pPr>
        <w:keepNext w:val="0"/>
        <w:keepLines w:val="0"/>
        <w:pageBreakBefore w:val="0"/>
        <w:widowControl w:val="0"/>
        <w:kinsoku/>
        <w:wordWrap/>
        <w:overflowPunct/>
        <w:topLinePunct w:val="0"/>
        <w:autoSpaceDE w:val="0"/>
        <w:autoSpaceDN w:val="0"/>
        <w:bidi w:val="0"/>
        <w:adjustRightInd/>
        <w:snapToGrid/>
        <w:spacing w:after="0"/>
        <w:jc w:val="center"/>
        <w:textAlignment w:val="auto"/>
        <w:outlineLvl w:val="9"/>
        <w:rPr>
          <w:rFonts w:hint="eastAsia" w:ascii="宋体" w:hAnsi="宋体" w:eastAsia="宋体" w:cs="宋体"/>
          <w:kern w:val="0"/>
          <w:szCs w:val="21"/>
        </w:rPr>
      </w:pPr>
    </w:p>
    <w:p>
      <w:pPr>
        <w:keepNext w:val="0"/>
        <w:keepLines w:val="0"/>
        <w:pageBreakBefore w:val="0"/>
        <w:widowControl w:val="0"/>
        <w:kinsoku/>
        <w:wordWrap/>
        <w:overflowPunct/>
        <w:topLinePunct w:val="0"/>
        <w:autoSpaceDE w:val="0"/>
        <w:autoSpaceDN w:val="0"/>
        <w:bidi w:val="0"/>
        <w:adjustRightInd/>
        <w:snapToGrid/>
        <w:spacing w:after="0"/>
        <w:jc w:val="center"/>
        <w:textAlignment w:val="auto"/>
        <w:outlineLvl w:val="9"/>
        <w:rPr>
          <w:rFonts w:hint="eastAsia" w:ascii="宋体" w:hAnsi="宋体" w:eastAsia="宋体" w:cs="宋体"/>
          <w:kern w:val="0"/>
          <w:szCs w:val="21"/>
        </w:rPr>
      </w:pPr>
    </w:p>
    <w:p>
      <w:pPr>
        <w:keepNext w:val="0"/>
        <w:keepLines w:val="0"/>
        <w:pageBreakBefore/>
        <w:numPr>
          <w:ilvl w:val="2"/>
          <w:numId w:val="0"/>
        </w:numPr>
        <w:kinsoku/>
        <w:wordWrap/>
        <w:overflowPunct/>
        <w:topLinePunct w:val="0"/>
        <w:autoSpaceDE w:val="0"/>
        <w:autoSpaceDN w:val="0"/>
        <w:bidi w:val="0"/>
        <w:adjustRightInd/>
        <w:snapToGrid/>
        <w:spacing w:before="0" w:after="0" w:line="460" w:lineRule="exact"/>
        <w:ind w:left="459" w:firstLine="420"/>
        <w:jc w:val="center"/>
        <w:textAlignment w:val="auto"/>
        <w:outlineLvl w:val="9"/>
        <w:rPr>
          <w:rFonts w:hint="eastAsia" w:ascii="宋体" w:hAnsi="宋体" w:eastAsia="宋体" w:cs="宋体"/>
          <w:bCs w:val="0"/>
          <w:sz w:val="28"/>
          <w:szCs w:val="28"/>
        </w:rPr>
      </w:pPr>
      <w:bookmarkStart w:id="12" w:name="_Toc410982303"/>
      <w:bookmarkStart w:id="13" w:name="_Toc501357133"/>
      <w:bookmarkStart w:id="14" w:name="_Toc330304918"/>
      <w:bookmarkStart w:id="15" w:name="_Toc329937399"/>
      <w:bookmarkStart w:id="16" w:name="_Toc6706"/>
      <w:bookmarkStart w:id="17" w:name="_Toc386209771"/>
      <w:bookmarkStart w:id="18" w:name="_Toc4055656"/>
      <w:r>
        <w:rPr>
          <w:rFonts w:hint="eastAsia" w:ascii="宋体" w:hAnsi="宋体" w:eastAsia="宋体" w:cs="宋体"/>
          <w:bCs w:val="0"/>
          <w:sz w:val="28"/>
          <w:szCs w:val="28"/>
        </w:rPr>
        <w:t>第二部分  通用合同条款（略）</w:t>
      </w:r>
      <w:bookmarkEnd w:id="12"/>
      <w:bookmarkEnd w:id="13"/>
      <w:bookmarkEnd w:id="14"/>
      <w:bookmarkEnd w:id="15"/>
      <w:bookmarkEnd w:id="16"/>
      <w:bookmarkEnd w:id="17"/>
      <w:bookmarkEnd w:id="18"/>
    </w:p>
    <w:p>
      <w:pPr>
        <w:keepNext w:val="0"/>
        <w:keepLines w:val="0"/>
        <w:numPr>
          <w:ilvl w:val="2"/>
          <w:numId w:val="0"/>
        </w:numPr>
        <w:kinsoku/>
        <w:wordWrap/>
        <w:overflowPunct/>
        <w:topLinePunct w:val="0"/>
        <w:autoSpaceDE w:val="0"/>
        <w:autoSpaceDN w:val="0"/>
        <w:bidi w:val="0"/>
        <w:adjustRightInd/>
        <w:snapToGrid/>
        <w:spacing w:before="0" w:after="0" w:line="460" w:lineRule="exact"/>
        <w:jc w:val="both"/>
        <w:textAlignment w:val="auto"/>
        <w:outlineLvl w:val="9"/>
        <w:rPr>
          <w:rFonts w:hint="eastAsia" w:ascii="宋体" w:hAnsi="宋体" w:eastAsia="宋体" w:cs="宋体"/>
          <w:bCs w:val="0"/>
          <w:sz w:val="21"/>
          <w:szCs w:val="21"/>
        </w:rPr>
      </w:pPr>
      <w:bookmarkStart w:id="19" w:name="_Toc386209772"/>
      <w:bookmarkStart w:id="20" w:name="_Toc285097659"/>
      <w:bookmarkStart w:id="21" w:name="_Toc410982304"/>
      <w:bookmarkStart w:id="22" w:name="_Toc329937400"/>
      <w:bookmarkStart w:id="23" w:name="_Toc330304919"/>
      <w:bookmarkStart w:id="24" w:name="_Toc4055657"/>
      <w:bookmarkStart w:id="25" w:name="_Toc25413"/>
      <w:bookmarkStart w:id="26" w:name="_Toc501357134"/>
      <w:r>
        <w:rPr>
          <w:rFonts w:hint="eastAsia" w:ascii="宋体" w:hAnsi="宋体" w:eastAsia="宋体" w:cs="宋体"/>
          <w:bCs w:val="0"/>
          <w:sz w:val="21"/>
          <w:szCs w:val="21"/>
        </w:rPr>
        <w:t>参照国家住建部、工商行政管理局制定的《建设项目工程施工合同》（GF—2017—0201）</w:t>
      </w:r>
    </w:p>
    <w:p>
      <w:pPr>
        <w:keepNext w:val="0"/>
        <w:keepLines w:val="0"/>
        <w:numPr>
          <w:ilvl w:val="2"/>
          <w:numId w:val="0"/>
        </w:numPr>
        <w:kinsoku/>
        <w:wordWrap/>
        <w:overflowPunct/>
        <w:topLinePunct w:val="0"/>
        <w:autoSpaceDE w:val="0"/>
        <w:autoSpaceDN w:val="0"/>
        <w:bidi w:val="0"/>
        <w:adjustRightInd/>
        <w:snapToGrid/>
        <w:spacing w:before="0" w:after="0" w:line="460" w:lineRule="exact"/>
        <w:ind w:left="459" w:firstLine="420"/>
        <w:jc w:val="center"/>
        <w:textAlignment w:val="auto"/>
        <w:outlineLvl w:val="9"/>
        <w:rPr>
          <w:rFonts w:hint="eastAsia" w:ascii="宋体" w:hAnsi="宋体" w:eastAsia="宋体" w:cs="宋体"/>
          <w:bCs w:val="0"/>
          <w:sz w:val="28"/>
          <w:szCs w:val="28"/>
        </w:rPr>
      </w:pPr>
      <w:r>
        <w:rPr>
          <w:rFonts w:hint="eastAsia" w:ascii="宋体" w:hAnsi="宋体" w:eastAsia="宋体" w:cs="宋体"/>
          <w:bCs w:val="0"/>
          <w:sz w:val="28"/>
          <w:szCs w:val="28"/>
        </w:rPr>
        <w:t xml:space="preserve">第三部分  </w:t>
      </w:r>
      <w:bookmarkEnd w:id="19"/>
      <w:bookmarkEnd w:id="20"/>
      <w:bookmarkEnd w:id="21"/>
      <w:bookmarkEnd w:id="22"/>
      <w:bookmarkEnd w:id="23"/>
      <w:r>
        <w:rPr>
          <w:rFonts w:hint="eastAsia" w:ascii="宋体" w:hAnsi="宋体" w:eastAsia="宋体" w:cs="宋体"/>
          <w:bCs w:val="0"/>
          <w:sz w:val="28"/>
          <w:szCs w:val="28"/>
        </w:rPr>
        <w:t>专用合同条款</w:t>
      </w:r>
      <w:bookmarkEnd w:id="24"/>
      <w:bookmarkEnd w:id="25"/>
      <w:bookmarkEnd w:id="26"/>
    </w:p>
    <w:p>
      <w:pPr>
        <w:keepNext w:val="0"/>
        <w:keepLines w:val="0"/>
        <w:kinsoku/>
        <w:wordWrap/>
        <w:overflowPunct/>
        <w:topLinePunct w:val="0"/>
        <w:autoSpaceDE w:val="0"/>
        <w:autoSpaceDN w:val="0"/>
        <w:bidi w:val="0"/>
        <w:adjustRightInd/>
        <w:snapToGrid/>
        <w:textAlignment w:val="auto"/>
        <w:outlineLvl w:val="9"/>
        <w:rPr>
          <w:rFonts w:hint="eastAsia" w:ascii="宋体" w:hAnsi="宋体" w:eastAsia="宋体" w:cs="宋体"/>
        </w:rPr>
      </w:pPr>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27" w:name="_Toc8890"/>
      <w:bookmarkStart w:id="28" w:name="_Toc4055658"/>
      <w:bookmarkStart w:id="29" w:name="_Toc4055123"/>
      <w:r>
        <w:rPr>
          <w:rFonts w:hint="eastAsia" w:ascii="宋体" w:hAnsi="宋体" w:eastAsia="宋体" w:cs="宋体"/>
          <w:b/>
          <w:bCs/>
          <w:sz w:val="22"/>
          <w:szCs w:val="32"/>
        </w:rPr>
        <w:t>1. 一般约定</w:t>
      </w:r>
      <w:bookmarkEnd w:id="27"/>
      <w:bookmarkEnd w:id="28"/>
      <w:bookmarkEnd w:id="2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0" w:name="_Toc12861"/>
      <w:bookmarkStart w:id="31" w:name="_Toc4055124"/>
      <w:bookmarkStart w:id="32" w:name="_Toc4055659"/>
      <w:r>
        <w:rPr>
          <w:rFonts w:hint="eastAsia" w:ascii="宋体" w:hAnsi="宋体" w:eastAsia="宋体" w:cs="宋体"/>
          <w:sz w:val="22"/>
          <w:szCs w:val="32"/>
        </w:rPr>
        <w:t>1.1 词语定义</w:t>
      </w:r>
      <w:bookmarkEnd w:id="30"/>
      <w:bookmarkEnd w:id="31"/>
      <w:bookmarkEnd w:id="3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3" w:name="_Toc4055660"/>
      <w:bookmarkStart w:id="34" w:name="_Toc58"/>
      <w:bookmarkStart w:id="35" w:name="_Toc4055125"/>
      <w:r>
        <w:rPr>
          <w:rFonts w:hint="eastAsia" w:ascii="宋体" w:hAnsi="宋体" w:eastAsia="宋体" w:cs="宋体"/>
          <w:sz w:val="22"/>
          <w:szCs w:val="32"/>
        </w:rPr>
        <w:t>1.1.1合同</w:t>
      </w:r>
      <w:bookmarkEnd w:id="33"/>
      <w:bookmarkEnd w:id="34"/>
      <w:bookmarkEnd w:id="3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36" w:name="_Toc4055126"/>
      <w:bookmarkStart w:id="37" w:name="_Toc4055661"/>
      <w:bookmarkStart w:id="38" w:name="_Toc11815"/>
      <w:r>
        <w:rPr>
          <w:rFonts w:hint="eastAsia" w:ascii="宋体" w:hAnsi="宋体" w:eastAsia="宋体" w:cs="宋体"/>
          <w:sz w:val="22"/>
          <w:szCs w:val="32"/>
        </w:rPr>
        <w:t>1.1.1.10其他合同文件包括：</w:t>
      </w:r>
      <w:r>
        <w:rPr>
          <w:rFonts w:hint="eastAsia" w:ascii="宋体" w:hAnsi="宋体" w:eastAsia="宋体" w:cs="宋体"/>
          <w:sz w:val="22"/>
          <w:szCs w:val="32"/>
          <w:u w:val="single"/>
        </w:rPr>
        <w:t>招、投标文件；履行合同过程中书面确认的对合同内容有实质性影响的会议纪要或工作联系单、现场签证、工程设计变更单（技术核定单）、往来函件等资料</w:t>
      </w:r>
      <w:r>
        <w:rPr>
          <w:rFonts w:hint="eastAsia" w:ascii="宋体" w:hAnsi="宋体" w:eastAsia="宋体" w:cs="宋体"/>
          <w:sz w:val="22"/>
          <w:szCs w:val="32"/>
        </w:rPr>
        <w:t>。</w:t>
      </w:r>
      <w:bookmarkEnd w:id="36"/>
      <w:bookmarkEnd w:id="37"/>
      <w:bookmarkEnd w:id="3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9" w:name="_Toc4055662"/>
      <w:bookmarkStart w:id="40" w:name="_Toc4055127"/>
      <w:bookmarkStart w:id="41" w:name="_Toc29801"/>
      <w:r>
        <w:rPr>
          <w:rFonts w:hint="eastAsia" w:ascii="宋体" w:hAnsi="宋体" w:eastAsia="宋体" w:cs="宋体"/>
          <w:sz w:val="22"/>
          <w:szCs w:val="32"/>
        </w:rPr>
        <w:t>1.1.2 合同当事人及其他相关方</w:t>
      </w:r>
      <w:bookmarkEnd w:id="39"/>
      <w:bookmarkEnd w:id="40"/>
      <w:bookmarkEnd w:id="4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2" w:name="_Toc4055663"/>
      <w:bookmarkStart w:id="43" w:name="_Toc4055128"/>
      <w:bookmarkStart w:id="44" w:name="_Toc10870"/>
      <w:r>
        <w:rPr>
          <w:rFonts w:hint="eastAsia" w:ascii="宋体" w:hAnsi="宋体" w:eastAsia="宋体" w:cs="宋体"/>
          <w:sz w:val="22"/>
          <w:szCs w:val="32"/>
        </w:rPr>
        <w:t>1.1.2.4监理人：</w:t>
      </w:r>
      <w:bookmarkEnd w:id="42"/>
      <w:bookmarkEnd w:id="43"/>
      <w:bookmarkEnd w:id="4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5" w:name="_Toc17156"/>
      <w:bookmarkStart w:id="46" w:name="_Toc4055129"/>
      <w:bookmarkStart w:id="47" w:name="_Toc4055664"/>
      <w:r>
        <w:rPr>
          <w:rFonts w:hint="eastAsia" w:ascii="宋体" w:hAnsi="宋体" w:eastAsia="宋体" w:cs="宋体"/>
          <w:sz w:val="22"/>
          <w:szCs w:val="32"/>
        </w:rPr>
        <w:t>名称：</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45"/>
      <w:bookmarkEnd w:id="46"/>
      <w:bookmarkEnd w:id="4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8" w:name="_Toc4055130"/>
      <w:bookmarkStart w:id="49" w:name="_Toc2474"/>
      <w:bookmarkStart w:id="50" w:name="_Toc4055665"/>
      <w:r>
        <w:rPr>
          <w:rFonts w:hint="eastAsia" w:ascii="宋体" w:hAnsi="宋体" w:eastAsia="宋体" w:cs="宋体"/>
          <w:sz w:val="22"/>
          <w:szCs w:val="32"/>
        </w:rPr>
        <w:t>资质类别和等级：</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48"/>
      <w:bookmarkEnd w:id="49"/>
      <w:bookmarkEnd w:id="5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1" w:name="_Toc4055666"/>
      <w:bookmarkStart w:id="52" w:name="_Toc889"/>
      <w:bookmarkStart w:id="53" w:name="_Toc4055131"/>
      <w:r>
        <w:rPr>
          <w:rFonts w:hint="eastAsia" w:ascii="宋体" w:hAnsi="宋体" w:eastAsia="宋体" w:cs="宋体"/>
          <w:sz w:val="22"/>
          <w:szCs w:val="32"/>
        </w:rPr>
        <w:t>联系电话：</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51"/>
      <w:bookmarkEnd w:id="52"/>
      <w:bookmarkEnd w:id="5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4" w:name="_Toc4055132"/>
      <w:bookmarkStart w:id="55" w:name="_Toc4055667"/>
      <w:bookmarkStart w:id="56" w:name="_Toc28858"/>
      <w:r>
        <w:rPr>
          <w:rFonts w:hint="eastAsia" w:ascii="宋体" w:hAnsi="宋体" w:eastAsia="宋体" w:cs="宋体"/>
          <w:sz w:val="22"/>
          <w:szCs w:val="32"/>
        </w:rPr>
        <w:t>电子信箱：</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54"/>
      <w:bookmarkEnd w:id="55"/>
      <w:bookmarkEnd w:id="5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7" w:name="_Toc3353"/>
      <w:bookmarkStart w:id="58" w:name="_Toc4055668"/>
      <w:bookmarkStart w:id="59" w:name="_Toc4055133"/>
      <w:r>
        <w:rPr>
          <w:rFonts w:hint="eastAsia" w:ascii="宋体" w:hAnsi="宋体" w:eastAsia="宋体" w:cs="宋体"/>
          <w:sz w:val="22"/>
          <w:szCs w:val="32"/>
        </w:rPr>
        <w:t>通信地址：</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57"/>
      <w:bookmarkEnd w:id="58"/>
      <w:bookmarkEnd w:id="5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0" w:name="_Toc4055134"/>
      <w:bookmarkStart w:id="61" w:name="_Toc4055669"/>
      <w:bookmarkStart w:id="62" w:name="_Toc28422"/>
      <w:r>
        <w:rPr>
          <w:rFonts w:hint="eastAsia" w:ascii="宋体" w:hAnsi="宋体" w:eastAsia="宋体" w:cs="宋体"/>
          <w:sz w:val="22"/>
          <w:szCs w:val="32"/>
        </w:rPr>
        <w:t>1.1.2.5 设计人：</w:t>
      </w:r>
      <w:bookmarkEnd w:id="60"/>
      <w:bookmarkEnd w:id="61"/>
      <w:bookmarkEnd w:id="6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3" w:name="_Toc4055135"/>
      <w:bookmarkStart w:id="64" w:name="_Toc4055670"/>
      <w:bookmarkStart w:id="65" w:name="_Toc14803"/>
      <w:r>
        <w:rPr>
          <w:rFonts w:hint="eastAsia" w:ascii="宋体" w:hAnsi="宋体" w:eastAsia="宋体" w:cs="宋体"/>
          <w:sz w:val="22"/>
          <w:szCs w:val="32"/>
        </w:rPr>
        <w:t>名称：</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63"/>
      <w:bookmarkEnd w:id="64"/>
      <w:bookmarkEnd w:id="6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6" w:name="_Toc4055136"/>
      <w:bookmarkStart w:id="67" w:name="_Toc1699"/>
      <w:bookmarkStart w:id="68" w:name="_Toc4055671"/>
      <w:r>
        <w:rPr>
          <w:rFonts w:hint="eastAsia" w:ascii="宋体" w:hAnsi="宋体" w:eastAsia="宋体" w:cs="宋体"/>
          <w:sz w:val="22"/>
          <w:szCs w:val="32"/>
        </w:rPr>
        <w:t>资质类别和等级：</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66"/>
      <w:bookmarkEnd w:id="67"/>
      <w:bookmarkEnd w:id="6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9" w:name="_Toc4055137"/>
      <w:bookmarkStart w:id="70" w:name="_Toc23485"/>
      <w:bookmarkStart w:id="71" w:name="_Toc4055672"/>
      <w:r>
        <w:rPr>
          <w:rFonts w:hint="eastAsia" w:ascii="宋体" w:hAnsi="宋体" w:eastAsia="宋体" w:cs="宋体"/>
          <w:sz w:val="22"/>
          <w:szCs w:val="32"/>
        </w:rPr>
        <w:t>联系电话：</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69"/>
      <w:bookmarkEnd w:id="70"/>
      <w:bookmarkEnd w:id="7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2" w:name="_Toc4055673"/>
      <w:bookmarkStart w:id="73" w:name="_Toc8255"/>
      <w:bookmarkStart w:id="74" w:name="_Toc4055138"/>
      <w:r>
        <w:rPr>
          <w:rFonts w:hint="eastAsia" w:ascii="宋体" w:hAnsi="宋体" w:eastAsia="宋体" w:cs="宋体"/>
          <w:sz w:val="22"/>
          <w:szCs w:val="32"/>
        </w:rPr>
        <w:t>电子信箱：</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72"/>
      <w:bookmarkEnd w:id="73"/>
      <w:bookmarkEnd w:id="7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5" w:name="_Toc25596"/>
      <w:bookmarkStart w:id="76" w:name="_Toc4055139"/>
      <w:bookmarkStart w:id="77" w:name="_Toc4055674"/>
      <w:r>
        <w:rPr>
          <w:rFonts w:hint="eastAsia" w:ascii="宋体" w:hAnsi="宋体" w:eastAsia="宋体" w:cs="宋体"/>
          <w:sz w:val="22"/>
          <w:szCs w:val="32"/>
        </w:rPr>
        <w:t>通信地址：</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75"/>
      <w:bookmarkEnd w:id="76"/>
      <w:bookmarkEnd w:id="7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8" w:name="_Toc4055140"/>
      <w:bookmarkStart w:id="79" w:name="_Toc4055675"/>
      <w:bookmarkStart w:id="80" w:name="_Toc3823"/>
      <w:r>
        <w:rPr>
          <w:rFonts w:hint="eastAsia" w:ascii="宋体" w:hAnsi="宋体" w:eastAsia="宋体" w:cs="宋体"/>
          <w:sz w:val="22"/>
          <w:szCs w:val="32"/>
        </w:rPr>
        <w:t>1.1.3 工程和设备</w:t>
      </w:r>
      <w:bookmarkEnd w:id="78"/>
      <w:bookmarkEnd w:id="79"/>
      <w:bookmarkEnd w:id="8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81" w:name="_Toc4055141"/>
      <w:bookmarkStart w:id="82" w:name="_Toc28100"/>
      <w:bookmarkStart w:id="83" w:name="_Toc4055676"/>
      <w:r>
        <w:rPr>
          <w:rFonts w:hint="eastAsia" w:ascii="宋体" w:hAnsi="宋体" w:eastAsia="宋体" w:cs="宋体"/>
          <w:sz w:val="22"/>
          <w:szCs w:val="32"/>
        </w:rPr>
        <w:t>1.1.3.7 作为施工现场组成部分的其他场所包括：</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81"/>
      <w:bookmarkEnd w:id="82"/>
      <w:bookmarkEnd w:id="8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4" w:name="_Toc4055142"/>
      <w:bookmarkStart w:id="85" w:name="_Toc4055677"/>
      <w:bookmarkStart w:id="86" w:name="_Toc11174"/>
      <w:r>
        <w:rPr>
          <w:rFonts w:hint="eastAsia" w:ascii="宋体" w:hAnsi="宋体" w:eastAsia="宋体" w:cs="宋体"/>
          <w:sz w:val="22"/>
          <w:szCs w:val="32"/>
        </w:rPr>
        <w:t>1.1.3.9 永久占地包括：</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84"/>
      <w:bookmarkEnd w:id="85"/>
      <w:bookmarkEnd w:id="8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7" w:name="_Toc4055143"/>
      <w:bookmarkStart w:id="88" w:name="_Toc13964"/>
      <w:bookmarkStart w:id="89" w:name="_Toc4055678"/>
      <w:r>
        <w:rPr>
          <w:rFonts w:hint="eastAsia" w:ascii="宋体" w:hAnsi="宋体" w:eastAsia="宋体" w:cs="宋体"/>
          <w:sz w:val="22"/>
          <w:szCs w:val="32"/>
        </w:rPr>
        <w:t>1.1.3.10 临时占地包括：</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87"/>
      <w:bookmarkEnd w:id="88"/>
      <w:bookmarkEnd w:id="8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0" w:name="_Toc4055144"/>
      <w:bookmarkStart w:id="91" w:name="_Toc4055679"/>
      <w:bookmarkStart w:id="92" w:name="_Toc3366"/>
      <w:r>
        <w:rPr>
          <w:rFonts w:hint="eastAsia" w:ascii="宋体" w:hAnsi="宋体" w:eastAsia="宋体" w:cs="宋体"/>
          <w:sz w:val="22"/>
          <w:szCs w:val="32"/>
        </w:rPr>
        <w:t>1.3法律</w:t>
      </w:r>
      <w:bookmarkEnd w:id="90"/>
      <w:bookmarkEnd w:id="91"/>
      <w:bookmarkEnd w:id="9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93" w:name="_Toc5287"/>
      <w:bookmarkStart w:id="94" w:name="_Toc4055145"/>
      <w:bookmarkStart w:id="95" w:name="_Toc4055680"/>
      <w:r>
        <w:rPr>
          <w:rFonts w:hint="eastAsia" w:ascii="宋体" w:hAnsi="宋体" w:eastAsia="宋体" w:cs="宋体"/>
          <w:sz w:val="22"/>
          <w:szCs w:val="32"/>
        </w:rPr>
        <w:t>适用于合同的其他规范性文件：</w:t>
      </w:r>
      <w:r>
        <w:rPr>
          <w:rFonts w:hint="eastAsia" w:ascii="宋体" w:hAnsi="宋体" w:eastAsia="宋体" w:cs="宋体"/>
          <w:sz w:val="22"/>
          <w:szCs w:val="32"/>
          <w:u w:val="single"/>
        </w:rPr>
        <w:t>中华人民共和国合同法、建筑法、安全法等相关法律法规及国家行政部门、河南省、南阳市有关规定</w:t>
      </w:r>
      <w:r>
        <w:rPr>
          <w:rFonts w:hint="eastAsia" w:ascii="宋体" w:hAnsi="宋体" w:eastAsia="宋体" w:cs="宋体"/>
          <w:sz w:val="22"/>
          <w:szCs w:val="32"/>
        </w:rPr>
        <w:t>。</w:t>
      </w:r>
      <w:bookmarkEnd w:id="93"/>
      <w:bookmarkEnd w:id="94"/>
      <w:bookmarkEnd w:id="9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6" w:name="_Toc4055681"/>
      <w:bookmarkStart w:id="97" w:name="_Toc4055146"/>
      <w:bookmarkStart w:id="98" w:name="_Toc18596"/>
      <w:r>
        <w:rPr>
          <w:rFonts w:hint="eastAsia" w:ascii="宋体" w:hAnsi="宋体" w:eastAsia="宋体" w:cs="宋体"/>
          <w:sz w:val="22"/>
          <w:szCs w:val="32"/>
        </w:rPr>
        <w:t>1.4 标准和规范</w:t>
      </w:r>
      <w:bookmarkEnd w:id="96"/>
      <w:bookmarkEnd w:id="97"/>
      <w:bookmarkEnd w:id="9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9" w:name="_Toc4055147"/>
      <w:bookmarkStart w:id="100" w:name="_Toc4055682"/>
      <w:bookmarkStart w:id="101" w:name="_Toc18402"/>
      <w:r>
        <w:rPr>
          <w:rFonts w:hint="eastAsia" w:ascii="宋体" w:hAnsi="宋体" w:eastAsia="宋体" w:cs="宋体"/>
          <w:sz w:val="22"/>
          <w:szCs w:val="32"/>
        </w:rPr>
        <w:t>1.4.1适用于工程的标准规范包括：</w:t>
      </w:r>
      <w:r>
        <w:rPr>
          <w:rFonts w:hint="eastAsia" w:ascii="宋体" w:hAnsi="宋体" w:eastAsia="宋体" w:cs="宋体"/>
          <w:sz w:val="22"/>
          <w:szCs w:val="32"/>
          <w:u w:val="single"/>
        </w:rPr>
        <w:t>《建设工程工程量清单计价规范》等现行规范及相关标准。</w:t>
      </w:r>
      <w:bookmarkEnd w:id="99"/>
      <w:bookmarkEnd w:id="100"/>
      <w:bookmarkEnd w:id="10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02" w:name="_Toc4055683"/>
      <w:bookmarkStart w:id="103" w:name="_Toc4055148"/>
      <w:bookmarkStart w:id="104" w:name="_Toc18557"/>
      <w:r>
        <w:rPr>
          <w:rFonts w:hint="eastAsia" w:ascii="宋体" w:hAnsi="宋体" w:eastAsia="宋体" w:cs="宋体"/>
          <w:sz w:val="22"/>
          <w:szCs w:val="32"/>
        </w:rPr>
        <w:t>1.4.2 发包人提供国外标准、规范的名称：</w:t>
      </w:r>
      <w:r>
        <w:rPr>
          <w:rFonts w:hint="eastAsia" w:ascii="宋体" w:hAnsi="宋体" w:eastAsia="宋体" w:cs="宋体"/>
          <w:b/>
          <w:bCs/>
          <w:sz w:val="22"/>
          <w:szCs w:val="32"/>
          <w:u w:val="single"/>
        </w:rPr>
        <w:t xml:space="preserve"> / </w:t>
      </w:r>
      <w:r>
        <w:rPr>
          <w:rFonts w:hint="eastAsia" w:ascii="宋体" w:hAnsi="宋体" w:eastAsia="宋体" w:cs="宋体"/>
          <w:sz w:val="22"/>
          <w:szCs w:val="32"/>
        </w:rPr>
        <w:t>。</w:t>
      </w:r>
      <w:bookmarkEnd w:id="102"/>
      <w:bookmarkEnd w:id="103"/>
      <w:bookmarkEnd w:id="10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5" w:name="_Toc4055684"/>
      <w:bookmarkStart w:id="106" w:name="_Toc4055149"/>
      <w:bookmarkStart w:id="107" w:name="_Toc7127"/>
      <w:r>
        <w:rPr>
          <w:rFonts w:hint="eastAsia" w:ascii="宋体" w:hAnsi="宋体" w:eastAsia="宋体" w:cs="宋体"/>
          <w:sz w:val="22"/>
          <w:szCs w:val="32"/>
        </w:rPr>
        <w:t>发包人提供国外标准、规范的份数：</w:t>
      </w:r>
      <w:r>
        <w:rPr>
          <w:rFonts w:hint="eastAsia" w:ascii="宋体" w:hAnsi="宋体" w:eastAsia="宋体" w:cs="宋体"/>
          <w:b/>
          <w:bCs/>
          <w:sz w:val="22"/>
          <w:szCs w:val="32"/>
          <w:u w:val="single"/>
        </w:rPr>
        <w:t xml:space="preserve"> / </w:t>
      </w:r>
      <w:r>
        <w:rPr>
          <w:rFonts w:hint="eastAsia" w:ascii="宋体" w:hAnsi="宋体" w:eastAsia="宋体" w:cs="宋体"/>
          <w:sz w:val="22"/>
          <w:szCs w:val="32"/>
        </w:rPr>
        <w:t>。</w:t>
      </w:r>
      <w:bookmarkEnd w:id="105"/>
      <w:bookmarkEnd w:id="106"/>
      <w:bookmarkEnd w:id="10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8" w:name="_Toc4055150"/>
      <w:bookmarkStart w:id="109" w:name="_Toc4055685"/>
      <w:bookmarkStart w:id="110" w:name="_Toc29107"/>
      <w:r>
        <w:rPr>
          <w:rFonts w:hint="eastAsia" w:ascii="宋体" w:hAnsi="宋体" w:eastAsia="宋体" w:cs="宋体"/>
          <w:sz w:val="22"/>
          <w:szCs w:val="32"/>
        </w:rPr>
        <w:t>发包人提供国外标准、规范的名称：</w:t>
      </w:r>
      <w:r>
        <w:rPr>
          <w:rFonts w:hint="eastAsia" w:ascii="宋体" w:hAnsi="宋体" w:eastAsia="宋体" w:cs="宋体"/>
          <w:b/>
          <w:bCs/>
          <w:sz w:val="22"/>
          <w:szCs w:val="32"/>
          <w:u w:val="single"/>
        </w:rPr>
        <w:t xml:space="preserve"> / </w:t>
      </w:r>
      <w:r>
        <w:rPr>
          <w:rFonts w:hint="eastAsia" w:ascii="宋体" w:hAnsi="宋体" w:eastAsia="宋体" w:cs="宋体"/>
          <w:sz w:val="22"/>
          <w:szCs w:val="32"/>
        </w:rPr>
        <w:t>。</w:t>
      </w:r>
      <w:bookmarkEnd w:id="108"/>
      <w:bookmarkEnd w:id="109"/>
      <w:bookmarkEnd w:id="110"/>
      <w:bookmarkStart w:id="111" w:name="_Toc4055686"/>
      <w:bookmarkStart w:id="112" w:name="_Toc4055151"/>
      <w:bookmarkStart w:id="113" w:name="_Toc21014"/>
      <w:r>
        <w:rPr>
          <w:rFonts w:hint="eastAsia" w:ascii="宋体" w:hAnsi="宋体" w:eastAsia="宋体" w:cs="宋体"/>
          <w:sz w:val="22"/>
          <w:szCs w:val="32"/>
        </w:rPr>
        <w:t>1.4.3发包人对工程的技术标准和功能要求的特殊要求：</w:t>
      </w:r>
      <w:r>
        <w:rPr>
          <w:rFonts w:hint="eastAsia" w:ascii="宋体" w:hAnsi="宋体" w:eastAsia="宋体" w:cs="宋体"/>
          <w:b/>
          <w:bCs/>
          <w:sz w:val="22"/>
          <w:szCs w:val="32"/>
          <w:u w:val="single"/>
        </w:rPr>
        <w:t xml:space="preserve"> / </w:t>
      </w:r>
      <w:r>
        <w:rPr>
          <w:rFonts w:hint="eastAsia" w:ascii="宋体" w:hAnsi="宋体" w:eastAsia="宋体" w:cs="宋体"/>
          <w:sz w:val="22"/>
          <w:szCs w:val="32"/>
        </w:rPr>
        <w:t>。</w:t>
      </w:r>
      <w:bookmarkEnd w:id="111"/>
      <w:bookmarkEnd w:id="112"/>
      <w:bookmarkEnd w:id="11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4" w:name="_Toc4055152"/>
      <w:bookmarkStart w:id="115" w:name="_Toc22011"/>
      <w:bookmarkStart w:id="116" w:name="_Toc4055687"/>
      <w:r>
        <w:rPr>
          <w:rFonts w:hint="eastAsia" w:ascii="宋体" w:hAnsi="宋体" w:eastAsia="宋体" w:cs="宋体"/>
          <w:sz w:val="22"/>
          <w:szCs w:val="32"/>
        </w:rPr>
        <w:t>1.5 合同文件的优先顺序</w:t>
      </w:r>
      <w:bookmarkEnd w:id="114"/>
      <w:bookmarkEnd w:id="115"/>
      <w:bookmarkEnd w:id="11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7" w:name="_Toc4055688"/>
      <w:bookmarkStart w:id="118" w:name="_Toc14929"/>
      <w:bookmarkStart w:id="119" w:name="_Toc4055153"/>
      <w:r>
        <w:rPr>
          <w:rFonts w:hint="eastAsia" w:ascii="宋体" w:hAnsi="宋体" w:eastAsia="宋体" w:cs="宋体"/>
          <w:sz w:val="22"/>
          <w:szCs w:val="32"/>
        </w:rPr>
        <w:t>合同文件组成及优先顺序为：</w:t>
      </w:r>
      <w:r>
        <w:rPr>
          <w:rFonts w:hint="eastAsia" w:ascii="宋体" w:hAnsi="宋体" w:eastAsia="宋体" w:cs="宋体"/>
          <w:sz w:val="22"/>
          <w:szCs w:val="32"/>
          <w:u w:val="single"/>
        </w:rPr>
        <w:t>执行通用条款第1.5项。</w:t>
      </w:r>
      <w:bookmarkEnd w:id="117"/>
      <w:bookmarkEnd w:id="118"/>
      <w:bookmarkEnd w:id="11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lang w:eastAsia="zh-CN"/>
        </w:rPr>
      </w:pPr>
      <w:bookmarkStart w:id="120" w:name="_Toc24493"/>
      <w:bookmarkStart w:id="121" w:name="_Toc4055154"/>
      <w:bookmarkStart w:id="122" w:name="_Toc4055689"/>
      <w:r>
        <w:rPr>
          <w:rFonts w:hint="eastAsia" w:ascii="宋体" w:hAnsi="宋体" w:eastAsia="宋体" w:cs="宋体"/>
          <w:sz w:val="22"/>
          <w:szCs w:val="32"/>
        </w:rPr>
        <w:t>1.6 图纸和承包人文件</w:t>
      </w:r>
      <w:bookmarkEnd w:id="120"/>
      <w:bookmarkEnd w:id="121"/>
      <w:bookmarkEnd w:id="122"/>
      <w:r>
        <w:rPr>
          <w:rFonts w:hint="eastAsia" w:ascii="宋体" w:hAnsi="宋体" w:eastAsia="宋体" w:cs="宋体"/>
          <w:sz w:val="22"/>
          <w:szCs w:val="32"/>
        </w:rPr>
        <w:tab/>
      </w:r>
      <w:r>
        <w:rPr>
          <w:rFonts w:hint="eastAsia" w:cs="宋体"/>
          <w:sz w:val="22"/>
          <w:szCs w:val="32"/>
          <w:lang w:eastAsia="zh-CN"/>
        </w:rPr>
        <w:t>（</w:t>
      </w:r>
      <w:r>
        <w:rPr>
          <w:rFonts w:hint="eastAsia" w:cs="宋体"/>
          <w:sz w:val="22"/>
          <w:szCs w:val="32"/>
          <w:lang w:val="en-US" w:eastAsia="zh-CN"/>
        </w:rPr>
        <w:t>无图纸</w:t>
      </w:r>
      <w:r>
        <w:rPr>
          <w:rFonts w:hint="eastAsia" w:cs="宋体"/>
          <w:sz w:val="22"/>
          <w:szCs w:val="32"/>
          <w:lang w:eastAsia="zh-CN"/>
        </w:rPr>
        <w:t>）</w:t>
      </w:r>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default" w:ascii="宋体" w:hAnsi="宋体" w:eastAsia="宋体" w:cs="宋体"/>
          <w:sz w:val="22"/>
          <w:szCs w:val="32"/>
          <w:lang w:val="en-US" w:eastAsia="zh-CN"/>
        </w:rPr>
      </w:pPr>
      <w:bookmarkStart w:id="123" w:name="_Toc4055155"/>
      <w:bookmarkStart w:id="124" w:name="_Toc20783"/>
      <w:bookmarkStart w:id="125" w:name="_Toc4055690"/>
      <w:r>
        <w:rPr>
          <w:rFonts w:hint="eastAsia" w:ascii="宋体" w:hAnsi="宋体" w:eastAsia="宋体" w:cs="宋体"/>
          <w:sz w:val="22"/>
          <w:szCs w:val="32"/>
        </w:rPr>
        <w:t>1.6.1 图纸的提供</w:t>
      </w:r>
      <w:bookmarkEnd w:id="123"/>
      <w:bookmarkEnd w:id="124"/>
      <w:bookmarkEnd w:id="12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default" w:ascii="宋体" w:hAnsi="宋体" w:eastAsia="宋体" w:cs="宋体"/>
          <w:sz w:val="22"/>
          <w:szCs w:val="32"/>
          <w:u w:val="single"/>
          <w:lang w:val="en-US" w:eastAsia="zh-CN"/>
        </w:rPr>
      </w:pPr>
      <w:bookmarkStart w:id="126" w:name="_Toc4055156"/>
      <w:bookmarkStart w:id="127" w:name="_Toc3546"/>
      <w:bookmarkStart w:id="128" w:name="_Toc4055691"/>
      <w:r>
        <w:rPr>
          <w:rFonts w:hint="eastAsia" w:ascii="宋体" w:hAnsi="宋体" w:eastAsia="宋体" w:cs="宋体"/>
          <w:sz w:val="22"/>
          <w:szCs w:val="32"/>
        </w:rPr>
        <w:t>发包人向承包人提供图纸的期限：</w:t>
      </w:r>
      <w:bookmarkEnd w:id="126"/>
      <w:bookmarkEnd w:id="127"/>
      <w:bookmarkEnd w:id="128"/>
      <w:r>
        <w:rPr>
          <w:rFonts w:hint="eastAsia" w:cs="宋体"/>
          <w:sz w:val="22"/>
          <w:szCs w:val="32"/>
          <w:u w:val="single"/>
          <w:lang w:val="en-US" w:eastAsia="zh-CN"/>
        </w:rPr>
        <w:t xml:space="preserve">  /  </w:t>
      </w:r>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29" w:name="_Toc4055157"/>
      <w:bookmarkStart w:id="130" w:name="_Toc4055692"/>
      <w:bookmarkStart w:id="131" w:name="_Toc17011"/>
      <w:r>
        <w:rPr>
          <w:rFonts w:hint="eastAsia" w:ascii="宋体" w:hAnsi="宋体" w:eastAsia="宋体" w:cs="宋体"/>
          <w:sz w:val="22"/>
          <w:szCs w:val="32"/>
        </w:rPr>
        <w:t>发包人向承包人提供图纸的数量：</w:t>
      </w:r>
      <w:r>
        <w:rPr>
          <w:rFonts w:hint="eastAsia" w:cs="宋体"/>
          <w:sz w:val="22"/>
          <w:szCs w:val="32"/>
          <w:u w:val="single"/>
          <w:lang w:val="en-US" w:eastAsia="zh-CN"/>
        </w:rPr>
        <w:t xml:space="preserve">   / </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129"/>
      <w:bookmarkEnd w:id="130"/>
      <w:bookmarkEnd w:id="13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32" w:name="_Toc4055158"/>
      <w:bookmarkStart w:id="133" w:name="_Toc19017"/>
      <w:bookmarkStart w:id="134" w:name="_Toc4055693"/>
      <w:r>
        <w:rPr>
          <w:rFonts w:hint="eastAsia" w:ascii="宋体" w:hAnsi="宋体" w:eastAsia="宋体" w:cs="宋体"/>
          <w:sz w:val="22"/>
          <w:szCs w:val="32"/>
        </w:rPr>
        <w:t>发包人向承包人提供图纸的内容：</w:t>
      </w:r>
      <w:r>
        <w:rPr>
          <w:rFonts w:hint="eastAsia" w:cs="宋体"/>
          <w:sz w:val="22"/>
          <w:szCs w:val="32"/>
          <w:u w:val="single"/>
          <w:lang w:val="en-US" w:eastAsia="zh-CN"/>
        </w:rPr>
        <w:t xml:space="preserve">  / </w:t>
      </w:r>
      <w:r>
        <w:rPr>
          <w:rFonts w:hint="eastAsia" w:ascii="宋体" w:hAnsi="宋体" w:eastAsia="宋体" w:cs="宋体"/>
          <w:sz w:val="22"/>
          <w:szCs w:val="32"/>
          <w:u w:val="single"/>
        </w:rPr>
        <w:t>。</w:t>
      </w:r>
      <w:bookmarkEnd w:id="132"/>
      <w:bookmarkEnd w:id="133"/>
      <w:bookmarkEnd w:id="13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35" w:name="_Toc4055159"/>
      <w:bookmarkStart w:id="136" w:name="_Toc28720"/>
      <w:bookmarkStart w:id="137" w:name="_Toc4055694"/>
      <w:r>
        <w:rPr>
          <w:rFonts w:hint="eastAsia" w:ascii="宋体" w:hAnsi="宋体" w:eastAsia="宋体" w:cs="宋体"/>
          <w:sz w:val="22"/>
          <w:szCs w:val="32"/>
        </w:rPr>
        <w:t>1.6.4 承包人文件</w:t>
      </w:r>
      <w:bookmarkEnd w:id="135"/>
      <w:bookmarkEnd w:id="136"/>
      <w:bookmarkEnd w:id="13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38" w:name="_Toc4055160"/>
      <w:bookmarkStart w:id="139" w:name="_Toc1038"/>
      <w:bookmarkStart w:id="140" w:name="_Toc4055695"/>
      <w:r>
        <w:rPr>
          <w:rFonts w:hint="eastAsia" w:ascii="宋体" w:hAnsi="宋体" w:eastAsia="宋体" w:cs="宋体"/>
          <w:sz w:val="22"/>
          <w:szCs w:val="32"/>
        </w:rPr>
        <w:t>需要由承包人提供的文件，包括：</w:t>
      </w:r>
      <w:r>
        <w:rPr>
          <w:rFonts w:hint="eastAsia" w:ascii="宋体" w:hAnsi="宋体" w:eastAsia="宋体" w:cs="宋体"/>
          <w:sz w:val="22"/>
          <w:szCs w:val="32"/>
          <w:u w:val="single"/>
        </w:rPr>
        <w:t>施工组织设计、施工（安全）专项方案、总平面布置图、施工总进度计划、月度形象进度报告、工期分解计划（日、周）、资金需求计划及相应的工程款申请报告等按照建设部的相关要求，与施工有关的全部技术文件。</w:t>
      </w:r>
      <w:bookmarkEnd w:id="138"/>
      <w:bookmarkEnd w:id="139"/>
      <w:bookmarkEnd w:id="14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41" w:name="_Toc4055696"/>
      <w:bookmarkStart w:id="142" w:name="_Toc4578"/>
      <w:bookmarkStart w:id="143" w:name="_Toc4055161"/>
      <w:r>
        <w:rPr>
          <w:rFonts w:hint="eastAsia" w:ascii="宋体" w:hAnsi="宋体" w:eastAsia="宋体" w:cs="宋体"/>
          <w:sz w:val="22"/>
          <w:szCs w:val="32"/>
        </w:rPr>
        <w:t>承包人提供的文件的期限为：</w:t>
      </w:r>
      <w:r>
        <w:rPr>
          <w:rFonts w:hint="eastAsia" w:ascii="宋体" w:hAnsi="宋体" w:eastAsia="宋体" w:cs="宋体"/>
          <w:sz w:val="22"/>
          <w:szCs w:val="32"/>
          <w:u w:val="single"/>
        </w:rPr>
        <w:t>该文件使用前7天</w:t>
      </w:r>
      <w:r>
        <w:rPr>
          <w:rFonts w:hint="eastAsia" w:ascii="宋体" w:hAnsi="宋体" w:eastAsia="宋体" w:cs="宋体"/>
          <w:sz w:val="22"/>
          <w:szCs w:val="32"/>
        </w:rPr>
        <w:t>；</w:t>
      </w:r>
      <w:bookmarkEnd w:id="141"/>
      <w:bookmarkEnd w:id="142"/>
      <w:bookmarkEnd w:id="14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44" w:name="_Toc4055697"/>
      <w:bookmarkStart w:id="145" w:name="_Toc4055162"/>
      <w:bookmarkStart w:id="146" w:name="_Toc715"/>
      <w:r>
        <w:rPr>
          <w:rFonts w:hint="eastAsia" w:ascii="宋体" w:hAnsi="宋体" w:eastAsia="宋体" w:cs="宋体"/>
          <w:sz w:val="22"/>
          <w:szCs w:val="32"/>
        </w:rPr>
        <w:t>承包人提供的文件的数量为：</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144"/>
      <w:bookmarkEnd w:id="145"/>
      <w:bookmarkEnd w:id="14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47" w:name="_Toc4055163"/>
      <w:bookmarkStart w:id="148" w:name="_Toc4055698"/>
      <w:bookmarkStart w:id="149" w:name="_Toc15567"/>
      <w:r>
        <w:rPr>
          <w:rFonts w:hint="eastAsia" w:ascii="宋体" w:hAnsi="宋体" w:eastAsia="宋体" w:cs="宋体"/>
          <w:sz w:val="22"/>
          <w:szCs w:val="32"/>
        </w:rPr>
        <w:t>承包人提供的文件的形式为：</w:t>
      </w:r>
      <w:r>
        <w:rPr>
          <w:rFonts w:hint="eastAsia" w:ascii="宋体" w:hAnsi="宋体" w:eastAsia="宋体" w:cs="宋体"/>
          <w:sz w:val="22"/>
          <w:szCs w:val="32"/>
          <w:u w:val="single"/>
        </w:rPr>
        <w:t>纸质文件，电子文件</w:t>
      </w:r>
      <w:r>
        <w:rPr>
          <w:rFonts w:hint="eastAsia" w:ascii="宋体" w:hAnsi="宋体" w:eastAsia="宋体" w:cs="宋体"/>
          <w:sz w:val="22"/>
          <w:szCs w:val="32"/>
        </w:rPr>
        <w:t>；</w:t>
      </w:r>
      <w:bookmarkEnd w:id="147"/>
      <w:bookmarkEnd w:id="148"/>
      <w:bookmarkEnd w:id="14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50" w:name="_Toc5308"/>
      <w:bookmarkStart w:id="151" w:name="_Toc4055699"/>
      <w:bookmarkStart w:id="152" w:name="_Toc4055164"/>
      <w:r>
        <w:rPr>
          <w:rFonts w:hint="eastAsia" w:ascii="宋体" w:hAnsi="宋体" w:eastAsia="宋体" w:cs="宋体"/>
          <w:sz w:val="22"/>
          <w:szCs w:val="32"/>
        </w:rPr>
        <w:t>发包人审批承包人文件的期限：</w:t>
      </w:r>
      <w:r>
        <w:rPr>
          <w:rFonts w:hint="eastAsia" w:ascii="宋体" w:hAnsi="宋体" w:eastAsia="宋体" w:cs="宋体"/>
          <w:sz w:val="22"/>
          <w:szCs w:val="32"/>
          <w:u w:val="single"/>
        </w:rPr>
        <w:t>/</w:t>
      </w:r>
      <w:r>
        <w:rPr>
          <w:rFonts w:hint="eastAsia" w:ascii="宋体" w:hAnsi="宋体" w:eastAsia="宋体" w:cs="宋体"/>
          <w:sz w:val="22"/>
          <w:szCs w:val="32"/>
        </w:rPr>
        <w:t>。</w:t>
      </w:r>
      <w:bookmarkEnd w:id="150"/>
      <w:bookmarkEnd w:id="151"/>
      <w:bookmarkEnd w:id="15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53" w:name="_Toc4055165"/>
      <w:bookmarkStart w:id="154" w:name="_Toc13947"/>
      <w:bookmarkStart w:id="155" w:name="_Toc4055700"/>
      <w:r>
        <w:rPr>
          <w:rFonts w:hint="eastAsia" w:ascii="宋体" w:hAnsi="宋体" w:eastAsia="宋体" w:cs="宋体"/>
          <w:sz w:val="22"/>
          <w:szCs w:val="32"/>
        </w:rPr>
        <w:t>1.6.5 现场图纸准备</w:t>
      </w:r>
      <w:bookmarkEnd w:id="153"/>
      <w:bookmarkEnd w:id="154"/>
      <w:bookmarkEnd w:id="15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56" w:name="_Toc4055166"/>
      <w:bookmarkStart w:id="157" w:name="_Toc4055701"/>
      <w:bookmarkStart w:id="158" w:name="_Toc25175"/>
      <w:r>
        <w:rPr>
          <w:rFonts w:hint="eastAsia" w:ascii="宋体" w:hAnsi="宋体" w:eastAsia="宋体" w:cs="宋体"/>
          <w:sz w:val="22"/>
          <w:szCs w:val="32"/>
        </w:rPr>
        <w:t>关于现场图纸准备的约定：</w:t>
      </w:r>
      <w:r>
        <w:rPr>
          <w:rFonts w:hint="eastAsia" w:ascii="宋体" w:hAnsi="宋体" w:eastAsia="宋体" w:cs="宋体"/>
          <w:sz w:val="22"/>
          <w:szCs w:val="32"/>
          <w:u w:val="single"/>
        </w:rPr>
        <w:t>执行通用合同条款1.6.5</w:t>
      </w:r>
      <w:r>
        <w:rPr>
          <w:rFonts w:hint="eastAsia" w:ascii="宋体" w:hAnsi="宋体" w:eastAsia="宋体" w:cs="宋体"/>
          <w:sz w:val="22"/>
          <w:szCs w:val="32"/>
        </w:rPr>
        <w:t>。</w:t>
      </w:r>
      <w:bookmarkEnd w:id="156"/>
      <w:bookmarkEnd w:id="157"/>
      <w:bookmarkEnd w:id="15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59" w:name="_Toc4055167"/>
      <w:bookmarkStart w:id="160" w:name="_Toc17001"/>
      <w:bookmarkStart w:id="161" w:name="_Toc4055702"/>
      <w:r>
        <w:rPr>
          <w:rFonts w:hint="eastAsia" w:ascii="宋体" w:hAnsi="宋体" w:eastAsia="宋体" w:cs="宋体"/>
          <w:sz w:val="22"/>
          <w:szCs w:val="32"/>
        </w:rPr>
        <w:t>1.7 联络</w:t>
      </w:r>
      <w:bookmarkEnd w:id="159"/>
      <w:bookmarkEnd w:id="160"/>
      <w:bookmarkEnd w:id="16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62" w:name="_Toc29300"/>
      <w:bookmarkStart w:id="163" w:name="_Toc4055168"/>
      <w:bookmarkStart w:id="164" w:name="_Toc4055703"/>
      <w:r>
        <w:rPr>
          <w:rFonts w:hint="eastAsia" w:ascii="宋体" w:hAnsi="宋体" w:eastAsia="宋体" w:cs="宋体"/>
          <w:sz w:val="22"/>
          <w:szCs w:val="32"/>
        </w:rPr>
        <w:t>1.7.1发包人和承包人应当在</w:t>
      </w:r>
      <w:r>
        <w:rPr>
          <w:rFonts w:hint="eastAsia" w:ascii="宋体" w:hAnsi="宋体" w:eastAsia="宋体" w:cs="宋体"/>
          <w:sz w:val="22"/>
          <w:szCs w:val="32"/>
          <w:u w:val="single"/>
        </w:rPr>
        <w:t xml:space="preserve"> 7 </w:t>
      </w:r>
      <w:r>
        <w:rPr>
          <w:rFonts w:hint="eastAsia" w:ascii="宋体" w:hAnsi="宋体" w:eastAsia="宋体" w:cs="宋体"/>
          <w:sz w:val="22"/>
          <w:szCs w:val="32"/>
        </w:rPr>
        <w:t>天内将与合同有关的通知、批准、证明、证书、指示、指令、要求、请求、同意、意见、确定和决定等书面函件送达对方当事人。</w:t>
      </w:r>
      <w:bookmarkEnd w:id="162"/>
      <w:bookmarkEnd w:id="163"/>
      <w:bookmarkEnd w:id="16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65" w:name="_Toc16385"/>
      <w:bookmarkStart w:id="166" w:name="_Toc4055169"/>
      <w:bookmarkStart w:id="167" w:name="_Toc4055704"/>
      <w:r>
        <w:rPr>
          <w:rFonts w:hint="eastAsia" w:ascii="宋体" w:hAnsi="宋体" w:eastAsia="宋体" w:cs="宋体"/>
          <w:sz w:val="22"/>
          <w:szCs w:val="32"/>
        </w:rPr>
        <w:t>1.7.2 发包人接收文件的地点：</w:t>
      </w:r>
      <w:r>
        <w:rPr>
          <w:rFonts w:hint="eastAsia" w:ascii="宋体" w:hAnsi="宋体" w:eastAsia="宋体" w:cs="宋体"/>
          <w:sz w:val="22"/>
          <w:szCs w:val="32"/>
          <w:u w:val="single"/>
        </w:rPr>
        <w:t>发包人项目部</w:t>
      </w:r>
      <w:r>
        <w:rPr>
          <w:rFonts w:hint="eastAsia" w:ascii="宋体" w:hAnsi="宋体" w:eastAsia="宋体" w:cs="宋体"/>
          <w:sz w:val="22"/>
          <w:szCs w:val="32"/>
        </w:rPr>
        <w:t>；</w:t>
      </w:r>
      <w:bookmarkEnd w:id="165"/>
      <w:bookmarkEnd w:id="166"/>
      <w:bookmarkEnd w:id="16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68" w:name="_Toc4866"/>
      <w:bookmarkStart w:id="169" w:name="_Toc4055705"/>
      <w:bookmarkStart w:id="170" w:name="_Toc4055170"/>
      <w:r>
        <w:rPr>
          <w:rFonts w:hint="eastAsia" w:ascii="宋体" w:hAnsi="宋体" w:eastAsia="宋体" w:cs="宋体"/>
          <w:sz w:val="22"/>
          <w:szCs w:val="32"/>
        </w:rPr>
        <w:t>发包人指定的接收人为：</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168"/>
      <w:bookmarkEnd w:id="169"/>
      <w:bookmarkEnd w:id="17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71" w:name="_Toc4055706"/>
      <w:bookmarkStart w:id="172" w:name="_Toc4055171"/>
      <w:bookmarkStart w:id="173" w:name="_Toc10488"/>
      <w:r>
        <w:rPr>
          <w:rFonts w:hint="eastAsia" w:ascii="宋体" w:hAnsi="宋体" w:eastAsia="宋体" w:cs="宋体"/>
          <w:sz w:val="22"/>
          <w:szCs w:val="32"/>
        </w:rPr>
        <w:t>承包人接收文件的地点：</w:t>
      </w:r>
      <w:r>
        <w:rPr>
          <w:rFonts w:hint="eastAsia" w:ascii="宋体" w:hAnsi="宋体" w:eastAsia="宋体" w:cs="宋体"/>
          <w:sz w:val="22"/>
          <w:szCs w:val="32"/>
          <w:u w:val="single"/>
        </w:rPr>
        <w:t>发包人项目部</w:t>
      </w:r>
      <w:r>
        <w:rPr>
          <w:rFonts w:hint="eastAsia" w:ascii="宋体" w:hAnsi="宋体" w:eastAsia="宋体" w:cs="宋体"/>
          <w:sz w:val="22"/>
          <w:szCs w:val="32"/>
        </w:rPr>
        <w:t>；</w:t>
      </w:r>
      <w:bookmarkEnd w:id="171"/>
      <w:bookmarkEnd w:id="172"/>
      <w:bookmarkEnd w:id="17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74" w:name="_Toc4055172"/>
      <w:bookmarkStart w:id="175" w:name="_Toc4055707"/>
      <w:bookmarkStart w:id="176" w:name="_Toc13403"/>
      <w:r>
        <w:rPr>
          <w:rFonts w:hint="eastAsia" w:ascii="宋体" w:hAnsi="宋体" w:eastAsia="宋体" w:cs="宋体"/>
          <w:sz w:val="22"/>
          <w:szCs w:val="32"/>
        </w:rPr>
        <w:t>承包人指定的接收人为：</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174"/>
      <w:bookmarkEnd w:id="175"/>
      <w:bookmarkEnd w:id="17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77" w:name="_Toc4055173"/>
      <w:bookmarkStart w:id="178" w:name="_Toc31695"/>
      <w:bookmarkStart w:id="179" w:name="_Toc4055708"/>
      <w:r>
        <w:rPr>
          <w:rFonts w:hint="eastAsia" w:ascii="宋体" w:hAnsi="宋体" w:eastAsia="宋体" w:cs="宋体"/>
          <w:sz w:val="22"/>
          <w:szCs w:val="32"/>
        </w:rPr>
        <w:t>监理人接收文件的地点：</w:t>
      </w:r>
      <w:r>
        <w:rPr>
          <w:rFonts w:hint="eastAsia" w:ascii="宋体" w:hAnsi="宋体" w:eastAsia="宋体" w:cs="宋体"/>
          <w:sz w:val="22"/>
          <w:szCs w:val="32"/>
          <w:u w:val="single"/>
        </w:rPr>
        <w:t>发包人项目部</w:t>
      </w:r>
      <w:r>
        <w:rPr>
          <w:rFonts w:hint="eastAsia" w:ascii="宋体" w:hAnsi="宋体" w:eastAsia="宋体" w:cs="宋体"/>
          <w:sz w:val="22"/>
          <w:szCs w:val="32"/>
        </w:rPr>
        <w:t>；</w:t>
      </w:r>
      <w:bookmarkEnd w:id="177"/>
      <w:bookmarkEnd w:id="178"/>
      <w:bookmarkEnd w:id="17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80" w:name="_Toc4055709"/>
      <w:bookmarkStart w:id="181" w:name="_Toc4055174"/>
      <w:bookmarkStart w:id="182" w:name="_Toc13381"/>
      <w:r>
        <w:rPr>
          <w:rFonts w:hint="eastAsia" w:ascii="宋体" w:hAnsi="宋体" w:eastAsia="宋体" w:cs="宋体"/>
          <w:sz w:val="22"/>
          <w:szCs w:val="32"/>
        </w:rPr>
        <w:t>监理人指定的接收人为：</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180"/>
      <w:bookmarkEnd w:id="181"/>
      <w:bookmarkEnd w:id="18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83" w:name="_Toc4055710"/>
      <w:bookmarkStart w:id="184" w:name="_Toc4055175"/>
      <w:bookmarkStart w:id="185" w:name="_Toc15196"/>
      <w:r>
        <w:rPr>
          <w:rFonts w:hint="eastAsia" w:ascii="宋体" w:hAnsi="宋体" w:eastAsia="宋体" w:cs="宋体"/>
          <w:sz w:val="22"/>
          <w:szCs w:val="32"/>
        </w:rPr>
        <w:t>1.10 交通运输</w:t>
      </w:r>
      <w:bookmarkEnd w:id="183"/>
      <w:bookmarkEnd w:id="184"/>
      <w:bookmarkEnd w:id="18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86" w:name="_Toc4055176"/>
      <w:bookmarkStart w:id="187" w:name="_Toc15837"/>
      <w:bookmarkStart w:id="188" w:name="_Toc4055711"/>
      <w:r>
        <w:rPr>
          <w:rFonts w:hint="eastAsia" w:ascii="宋体" w:hAnsi="宋体" w:eastAsia="宋体" w:cs="宋体"/>
          <w:sz w:val="22"/>
          <w:szCs w:val="32"/>
        </w:rPr>
        <w:t>1.10.1 出入现场的权利</w:t>
      </w:r>
      <w:bookmarkEnd w:id="186"/>
      <w:bookmarkEnd w:id="187"/>
      <w:bookmarkEnd w:id="18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89" w:name="_Toc4055712"/>
      <w:bookmarkStart w:id="190" w:name="_Toc13176"/>
      <w:bookmarkStart w:id="191" w:name="_Toc4055177"/>
      <w:r>
        <w:rPr>
          <w:rFonts w:hint="eastAsia" w:ascii="宋体" w:hAnsi="宋体" w:eastAsia="宋体" w:cs="宋体"/>
          <w:sz w:val="22"/>
          <w:szCs w:val="32"/>
        </w:rPr>
        <w:t>关于出入现场的权利的约定：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89"/>
      <w:bookmarkEnd w:id="190"/>
      <w:bookmarkEnd w:id="19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92" w:name="_Toc4055178"/>
      <w:bookmarkStart w:id="193" w:name="_Toc19970"/>
      <w:bookmarkStart w:id="194" w:name="_Toc4055713"/>
      <w:r>
        <w:rPr>
          <w:rFonts w:hint="eastAsia" w:ascii="宋体" w:hAnsi="宋体" w:eastAsia="宋体" w:cs="宋体"/>
          <w:sz w:val="22"/>
          <w:szCs w:val="32"/>
        </w:rPr>
        <w:t>1.10.2场外交通</w:t>
      </w:r>
      <w:bookmarkEnd w:id="192"/>
      <w:bookmarkEnd w:id="193"/>
      <w:bookmarkEnd w:id="19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95" w:name="_Toc29766"/>
      <w:bookmarkStart w:id="196" w:name="_Toc4055179"/>
      <w:bookmarkStart w:id="197" w:name="_Toc4055714"/>
      <w:r>
        <w:rPr>
          <w:rFonts w:hint="eastAsia" w:ascii="宋体" w:hAnsi="宋体" w:eastAsia="宋体" w:cs="宋体"/>
          <w:sz w:val="22"/>
          <w:szCs w:val="32"/>
        </w:rPr>
        <w:t>承包人应遵守有关交通法规，严格按照道路和桥梁的限制荷载行驶，执行有关道路限速、限行、禁止超载的规定，并配合交通管理部门的监督和检查。场外交通设施无法满足工程施工需要的，由承包人负责完善并承担相关费用。</w:t>
      </w:r>
      <w:bookmarkEnd w:id="195"/>
      <w:bookmarkEnd w:id="196"/>
      <w:bookmarkEnd w:id="19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98" w:name="_Toc4055715"/>
      <w:bookmarkStart w:id="199" w:name="_Toc10237"/>
      <w:bookmarkStart w:id="200" w:name="_Toc4055180"/>
      <w:r>
        <w:rPr>
          <w:rFonts w:hint="eastAsia" w:ascii="宋体" w:hAnsi="宋体" w:eastAsia="宋体" w:cs="宋体"/>
          <w:sz w:val="22"/>
          <w:szCs w:val="32"/>
        </w:rPr>
        <w:t>1.10.3 场内交通</w:t>
      </w:r>
      <w:bookmarkEnd w:id="198"/>
      <w:bookmarkEnd w:id="199"/>
      <w:bookmarkEnd w:id="20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01" w:name="_Toc4055181"/>
      <w:bookmarkStart w:id="202" w:name="_Toc4055716"/>
      <w:bookmarkStart w:id="203" w:name="_Toc16576"/>
      <w:r>
        <w:rPr>
          <w:rFonts w:hint="eastAsia" w:ascii="宋体" w:hAnsi="宋体" w:eastAsia="宋体" w:cs="宋体"/>
          <w:sz w:val="22"/>
          <w:szCs w:val="32"/>
        </w:rPr>
        <w:t>关于场外交通和场内交通的边界的约定：</w:t>
      </w:r>
      <w:r>
        <w:rPr>
          <w:rFonts w:hint="eastAsia" w:ascii="宋体" w:hAnsi="宋体" w:eastAsia="宋体" w:cs="宋体"/>
          <w:sz w:val="22"/>
          <w:szCs w:val="32"/>
          <w:u w:val="single"/>
        </w:rPr>
        <w:t>  /  。</w:t>
      </w:r>
      <w:bookmarkEnd w:id="201"/>
      <w:bookmarkEnd w:id="202"/>
      <w:bookmarkEnd w:id="20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04" w:name="_Toc4055182"/>
      <w:bookmarkStart w:id="205" w:name="_Toc9331"/>
      <w:bookmarkStart w:id="206" w:name="_Toc4055717"/>
      <w:r>
        <w:rPr>
          <w:rFonts w:hint="eastAsia" w:ascii="宋体" w:hAnsi="宋体" w:eastAsia="宋体" w:cs="宋体"/>
          <w:sz w:val="22"/>
          <w:szCs w:val="32"/>
        </w:rPr>
        <w:t>关于发包人向承包人免费提供满足工程施工需要的场内道路和交通设施的约定：</w:t>
      </w:r>
      <w:r>
        <w:rPr>
          <w:rFonts w:hint="eastAsia" w:ascii="宋体" w:hAnsi="宋体" w:eastAsia="宋体" w:cs="宋体"/>
          <w:sz w:val="22"/>
          <w:szCs w:val="32"/>
          <w:u w:val="single"/>
        </w:rPr>
        <w:t xml:space="preserve">不提供，由承包人自行解决并承担相应费用  </w:t>
      </w:r>
      <w:r>
        <w:rPr>
          <w:rFonts w:hint="eastAsia" w:ascii="宋体" w:hAnsi="宋体" w:eastAsia="宋体" w:cs="宋体"/>
          <w:sz w:val="22"/>
          <w:szCs w:val="32"/>
        </w:rPr>
        <w:t>。</w:t>
      </w:r>
      <w:bookmarkEnd w:id="204"/>
      <w:bookmarkEnd w:id="205"/>
      <w:bookmarkEnd w:id="20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07" w:name="_Toc4055718"/>
      <w:bookmarkStart w:id="208" w:name="_Toc21078"/>
      <w:bookmarkStart w:id="209" w:name="_Toc4055183"/>
      <w:r>
        <w:rPr>
          <w:rFonts w:hint="eastAsia" w:ascii="宋体" w:hAnsi="宋体" w:eastAsia="宋体" w:cs="宋体"/>
          <w:sz w:val="22"/>
          <w:szCs w:val="32"/>
        </w:rPr>
        <w:t>1.10.4超大件和超重件的运输</w:t>
      </w:r>
      <w:bookmarkEnd w:id="207"/>
      <w:bookmarkEnd w:id="208"/>
      <w:bookmarkEnd w:id="20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10" w:name="_Toc21737"/>
      <w:bookmarkStart w:id="211" w:name="_Toc4055719"/>
      <w:bookmarkStart w:id="212" w:name="_Toc4055184"/>
      <w:r>
        <w:rPr>
          <w:rFonts w:hint="eastAsia" w:ascii="宋体" w:hAnsi="宋体" w:eastAsia="宋体" w:cs="宋体"/>
          <w:sz w:val="22"/>
          <w:szCs w:val="32"/>
        </w:rPr>
        <w:t>运输超大件或超重件所需的道路和桥梁临时加固改造费用和其他有关费用由</w:t>
      </w:r>
      <w:r>
        <w:rPr>
          <w:rFonts w:hint="eastAsia" w:ascii="宋体" w:hAnsi="宋体" w:eastAsia="宋体" w:cs="宋体"/>
          <w:sz w:val="22"/>
          <w:szCs w:val="32"/>
          <w:u w:val="single"/>
        </w:rPr>
        <w:t>承包人</w:t>
      </w:r>
      <w:r>
        <w:rPr>
          <w:rFonts w:hint="eastAsia" w:ascii="宋体" w:hAnsi="宋体" w:eastAsia="宋体" w:cs="宋体"/>
          <w:sz w:val="22"/>
          <w:szCs w:val="32"/>
        </w:rPr>
        <w:t>承担。</w:t>
      </w:r>
      <w:bookmarkEnd w:id="210"/>
      <w:bookmarkEnd w:id="211"/>
      <w:bookmarkEnd w:id="21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13" w:name="_Toc4055720"/>
      <w:bookmarkStart w:id="214" w:name="_Toc8939"/>
      <w:bookmarkStart w:id="215" w:name="_Toc4055185"/>
      <w:r>
        <w:rPr>
          <w:rFonts w:hint="eastAsia" w:ascii="宋体" w:hAnsi="宋体" w:eastAsia="宋体" w:cs="宋体"/>
          <w:sz w:val="22"/>
          <w:szCs w:val="32"/>
        </w:rPr>
        <w:t>1.11 知识产权</w:t>
      </w:r>
      <w:bookmarkEnd w:id="213"/>
      <w:bookmarkEnd w:id="214"/>
      <w:bookmarkEnd w:id="21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16" w:name="_Toc4055721"/>
      <w:bookmarkStart w:id="217" w:name="_Toc4055186"/>
      <w:bookmarkStart w:id="218" w:name="_Toc2145"/>
      <w:r>
        <w:rPr>
          <w:rFonts w:hint="eastAsia" w:ascii="宋体" w:hAnsi="宋体" w:eastAsia="宋体" w:cs="宋体"/>
          <w:sz w:val="22"/>
          <w:szCs w:val="32"/>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sz w:val="22"/>
          <w:szCs w:val="32"/>
          <w:u w:val="single"/>
        </w:rPr>
        <w:t>执行通用合同条款1.11.1。</w:t>
      </w:r>
      <w:bookmarkEnd w:id="216"/>
      <w:bookmarkEnd w:id="217"/>
      <w:bookmarkEnd w:id="21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19" w:name="_Toc4055187"/>
      <w:bookmarkStart w:id="220" w:name="_Toc14208"/>
      <w:bookmarkStart w:id="221" w:name="_Toc4055722"/>
      <w:r>
        <w:rPr>
          <w:rFonts w:hint="eastAsia" w:ascii="宋体" w:hAnsi="宋体" w:eastAsia="宋体" w:cs="宋体"/>
          <w:sz w:val="22"/>
          <w:szCs w:val="32"/>
        </w:rPr>
        <w:t>关于发包人提供的上述文件的使用限制的要求：</w:t>
      </w:r>
      <w:r>
        <w:rPr>
          <w:rFonts w:hint="eastAsia" w:ascii="宋体" w:hAnsi="宋体" w:eastAsia="宋体" w:cs="宋体"/>
          <w:sz w:val="22"/>
          <w:szCs w:val="32"/>
          <w:u w:val="single"/>
        </w:rPr>
        <w:t>执行通用合同条款1.11.1。</w:t>
      </w:r>
      <w:bookmarkEnd w:id="219"/>
      <w:bookmarkEnd w:id="220"/>
      <w:bookmarkEnd w:id="22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22" w:name="_Toc4055723"/>
      <w:bookmarkStart w:id="223" w:name="_Toc25042"/>
      <w:bookmarkStart w:id="224" w:name="_Toc4055188"/>
      <w:r>
        <w:rPr>
          <w:rFonts w:hint="eastAsia" w:ascii="宋体" w:hAnsi="宋体" w:eastAsia="宋体" w:cs="宋体"/>
          <w:sz w:val="22"/>
          <w:szCs w:val="32"/>
        </w:rPr>
        <w:t>1.11.2 关于承包人为实施工程所编制文件的著作权的归属：</w:t>
      </w:r>
      <w:r>
        <w:rPr>
          <w:rFonts w:hint="eastAsia" w:ascii="宋体" w:hAnsi="宋体" w:eastAsia="宋体" w:cs="宋体"/>
          <w:sz w:val="22"/>
          <w:szCs w:val="32"/>
          <w:u w:val="single"/>
        </w:rPr>
        <w:t>执行通用合同条款1.11.2</w:t>
      </w:r>
      <w:r>
        <w:rPr>
          <w:rFonts w:hint="eastAsia" w:ascii="宋体" w:hAnsi="宋体" w:eastAsia="宋体" w:cs="宋体"/>
          <w:sz w:val="22"/>
          <w:szCs w:val="32"/>
        </w:rPr>
        <w:t>。</w:t>
      </w:r>
      <w:bookmarkEnd w:id="222"/>
      <w:bookmarkEnd w:id="223"/>
      <w:bookmarkEnd w:id="22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25" w:name="_Toc4055724"/>
      <w:bookmarkStart w:id="226" w:name="_Toc31035"/>
      <w:bookmarkStart w:id="227" w:name="_Toc4055189"/>
      <w:r>
        <w:rPr>
          <w:rFonts w:hint="eastAsia" w:ascii="宋体" w:hAnsi="宋体" w:eastAsia="宋体" w:cs="宋体"/>
          <w:sz w:val="22"/>
          <w:szCs w:val="32"/>
        </w:rPr>
        <w:t>关于承包人提供的上述文件的使用限制的要求：</w:t>
      </w:r>
      <w:r>
        <w:rPr>
          <w:rFonts w:hint="eastAsia" w:ascii="宋体" w:hAnsi="宋体" w:eastAsia="宋体" w:cs="宋体"/>
          <w:sz w:val="22"/>
          <w:szCs w:val="32"/>
          <w:u w:val="single"/>
        </w:rPr>
        <w:t>执行通用合同条款1.11.2</w:t>
      </w:r>
      <w:r>
        <w:rPr>
          <w:rFonts w:hint="eastAsia" w:ascii="宋体" w:hAnsi="宋体" w:eastAsia="宋体" w:cs="宋体"/>
          <w:sz w:val="22"/>
          <w:szCs w:val="32"/>
        </w:rPr>
        <w:t>。</w:t>
      </w:r>
      <w:bookmarkEnd w:id="225"/>
      <w:bookmarkEnd w:id="226"/>
      <w:bookmarkEnd w:id="22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28" w:name="_Toc4055190"/>
      <w:bookmarkStart w:id="229" w:name="_Toc30614"/>
      <w:bookmarkStart w:id="230" w:name="_Toc4055725"/>
      <w:r>
        <w:rPr>
          <w:rFonts w:hint="eastAsia" w:ascii="宋体" w:hAnsi="宋体" w:eastAsia="宋体" w:cs="宋体"/>
          <w:sz w:val="22"/>
          <w:szCs w:val="32"/>
        </w:rPr>
        <w:t>1.11.4 承包人在施工过程中所采用的专利、专有技术、技术秘密的使用费的承担方式：</w:t>
      </w:r>
      <w:r>
        <w:rPr>
          <w:rFonts w:hint="eastAsia" w:ascii="宋体" w:hAnsi="宋体" w:eastAsia="宋体" w:cs="宋体"/>
          <w:sz w:val="22"/>
          <w:szCs w:val="32"/>
          <w:u w:val="single"/>
        </w:rPr>
        <w:t>全部由承包人承担</w:t>
      </w:r>
      <w:r>
        <w:rPr>
          <w:rFonts w:hint="eastAsia" w:ascii="宋体" w:hAnsi="宋体" w:eastAsia="宋体" w:cs="宋体"/>
          <w:sz w:val="22"/>
          <w:szCs w:val="32"/>
        </w:rPr>
        <w:t>。</w:t>
      </w:r>
      <w:bookmarkEnd w:id="228"/>
      <w:bookmarkEnd w:id="229"/>
      <w:bookmarkEnd w:id="23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31" w:name="_Toc4055726"/>
      <w:bookmarkStart w:id="232" w:name="_Toc4055191"/>
      <w:bookmarkStart w:id="233" w:name="_Toc22452"/>
      <w:r>
        <w:rPr>
          <w:rFonts w:hint="eastAsia" w:ascii="宋体" w:hAnsi="宋体" w:eastAsia="宋体" w:cs="宋体"/>
          <w:sz w:val="22"/>
          <w:szCs w:val="32"/>
        </w:rPr>
        <w:t>1.13工程量清单错误的修正</w:t>
      </w:r>
      <w:bookmarkEnd w:id="231"/>
      <w:bookmarkEnd w:id="232"/>
      <w:bookmarkEnd w:id="233"/>
      <w:r>
        <w:rPr>
          <w:rFonts w:hint="eastAsia" w:ascii="宋体" w:hAnsi="宋体" w:eastAsia="宋体" w:cs="宋体"/>
          <w:sz w:val="22"/>
          <w:szCs w:val="32"/>
        </w:rPr>
        <w:t xml:space="preserve"> </w:t>
      </w:r>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34" w:name="_Toc27386"/>
      <w:bookmarkStart w:id="235" w:name="_Toc4055192"/>
      <w:bookmarkStart w:id="236" w:name="_Toc4055727"/>
      <w:r>
        <w:rPr>
          <w:rFonts w:hint="eastAsia" w:ascii="宋体" w:hAnsi="宋体" w:eastAsia="宋体" w:cs="宋体"/>
          <w:sz w:val="22"/>
          <w:szCs w:val="32"/>
        </w:rPr>
        <w:t>出现工程量清单错误时，是否调整合同价格：</w:t>
      </w:r>
      <w:r>
        <w:rPr>
          <w:rFonts w:hint="eastAsia" w:ascii="宋体" w:hAnsi="宋体" w:eastAsia="宋体" w:cs="宋体"/>
          <w:sz w:val="22"/>
          <w:szCs w:val="32"/>
          <w:u w:val="single"/>
        </w:rPr>
        <w:t>是（执行通用条款1.13）。</w:t>
      </w:r>
      <w:bookmarkEnd w:id="234"/>
      <w:bookmarkEnd w:id="235"/>
      <w:bookmarkEnd w:id="23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37" w:name="_Toc4055728"/>
      <w:bookmarkStart w:id="238" w:name="_Toc1716"/>
      <w:bookmarkStart w:id="239" w:name="_Toc4055193"/>
      <w:r>
        <w:rPr>
          <w:rFonts w:hint="eastAsia" w:ascii="宋体" w:hAnsi="宋体" w:eastAsia="宋体" w:cs="宋体"/>
          <w:sz w:val="22"/>
          <w:szCs w:val="32"/>
        </w:rPr>
        <w:t>允许调整合同价格的工程量偏差范围：</w:t>
      </w:r>
      <w:r>
        <w:rPr>
          <w:rFonts w:hint="eastAsia" w:ascii="宋体" w:hAnsi="宋体" w:eastAsia="宋体" w:cs="宋体"/>
          <w:sz w:val="22"/>
          <w:szCs w:val="32"/>
          <w:u w:val="single"/>
        </w:rPr>
        <w:t xml:space="preserve">   /  。</w:t>
      </w:r>
      <w:bookmarkEnd w:id="237"/>
      <w:bookmarkEnd w:id="238"/>
      <w:bookmarkEnd w:id="239"/>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240" w:name="_Toc4055194"/>
      <w:bookmarkStart w:id="241" w:name="_Toc4055729"/>
      <w:bookmarkStart w:id="242" w:name="_Toc8596"/>
      <w:r>
        <w:rPr>
          <w:rFonts w:hint="eastAsia" w:ascii="宋体" w:hAnsi="宋体" w:eastAsia="宋体" w:cs="宋体"/>
          <w:b/>
          <w:bCs/>
          <w:sz w:val="22"/>
          <w:szCs w:val="32"/>
        </w:rPr>
        <w:t>2. 发包人</w:t>
      </w:r>
      <w:bookmarkEnd w:id="240"/>
      <w:bookmarkEnd w:id="241"/>
      <w:bookmarkEnd w:id="24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43" w:name="_Toc31422"/>
      <w:bookmarkStart w:id="244" w:name="_Toc4055195"/>
      <w:bookmarkStart w:id="245" w:name="_Toc4055730"/>
      <w:r>
        <w:rPr>
          <w:rFonts w:hint="eastAsia" w:ascii="宋体" w:hAnsi="宋体" w:eastAsia="宋体" w:cs="宋体"/>
          <w:sz w:val="22"/>
          <w:szCs w:val="32"/>
        </w:rPr>
        <w:t>2.2 发包人代表</w:t>
      </w:r>
      <w:bookmarkEnd w:id="243"/>
      <w:bookmarkEnd w:id="244"/>
      <w:bookmarkEnd w:id="245"/>
      <w:r>
        <w:rPr>
          <w:rFonts w:hint="eastAsia" w:ascii="宋体" w:hAnsi="宋体" w:eastAsia="宋体" w:cs="宋体"/>
          <w:sz w:val="22"/>
          <w:szCs w:val="32"/>
        </w:rPr>
        <w:tab/>
      </w:r>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46" w:name="_Toc4055196"/>
      <w:bookmarkStart w:id="247" w:name="_Toc4055731"/>
      <w:bookmarkStart w:id="248" w:name="_Toc22031"/>
      <w:r>
        <w:rPr>
          <w:rFonts w:hint="eastAsia" w:ascii="宋体" w:hAnsi="宋体" w:eastAsia="宋体" w:cs="宋体"/>
          <w:sz w:val="22"/>
          <w:szCs w:val="32"/>
        </w:rPr>
        <w:t>姓名：</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246"/>
      <w:bookmarkEnd w:id="247"/>
      <w:bookmarkEnd w:id="24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49" w:name="_Toc8994"/>
      <w:bookmarkStart w:id="250" w:name="_Toc4055197"/>
      <w:bookmarkStart w:id="251" w:name="_Toc4055732"/>
      <w:r>
        <w:rPr>
          <w:rFonts w:hint="eastAsia" w:ascii="宋体" w:hAnsi="宋体" w:eastAsia="宋体" w:cs="宋体"/>
          <w:sz w:val="22"/>
          <w:szCs w:val="32"/>
        </w:rPr>
        <w:t>身份证号：</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249"/>
      <w:bookmarkEnd w:id="250"/>
      <w:bookmarkEnd w:id="25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52" w:name="_Toc4055198"/>
      <w:bookmarkStart w:id="253" w:name="_Toc4055733"/>
      <w:bookmarkStart w:id="254" w:name="_Toc9351"/>
      <w:r>
        <w:rPr>
          <w:rFonts w:hint="eastAsia" w:ascii="宋体" w:hAnsi="宋体" w:eastAsia="宋体" w:cs="宋体"/>
          <w:sz w:val="22"/>
          <w:szCs w:val="32"/>
        </w:rPr>
        <w:t>职务：</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252"/>
      <w:bookmarkEnd w:id="253"/>
      <w:bookmarkEnd w:id="25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55" w:name="_Toc4055199"/>
      <w:bookmarkStart w:id="256" w:name="_Toc4055734"/>
      <w:bookmarkStart w:id="257" w:name="_Toc5483"/>
      <w:r>
        <w:rPr>
          <w:rFonts w:hint="eastAsia" w:ascii="宋体" w:hAnsi="宋体" w:eastAsia="宋体" w:cs="宋体"/>
          <w:sz w:val="22"/>
          <w:szCs w:val="32"/>
        </w:rPr>
        <w:t>联系电话：</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255"/>
      <w:bookmarkEnd w:id="256"/>
      <w:bookmarkEnd w:id="25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58" w:name="_Toc5815"/>
      <w:bookmarkStart w:id="259" w:name="_Toc4055200"/>
      <w:bookmarkStart w:id="260" w:name="_Toc4055735"/>
      <w:r>
        <w:rPr>
          <w:rFonts w:hint="eastAsia" w:ascii="宋体" w:hAnsi="宋体" w:eastAsia="宋体" w:cs="宋体"/>
          <w:sz w:val="22"/>
          <w:szCs w:val="32"/>
        </w:rPr>
        <w:t>电子信箱：</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258"/>
      <w:bookmarkEnd w:id="259"/>
      <w:bookmarkEnd w:id="260"/>
      <w:r>
        <w:rPr>
          <w:rFonts w:hint="eastAsia" w:ascii="宋体" w:hAnsi="宋体" w:eastAsia="宋体" w:cs="宋体"/>
          <w:sz w:val="22"/>
          <w:szCs w:val="32"/>
        </w:rPr>
        <w:t xml:space="preserve"> </w:t>
      </w:r>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61" w:name="_Toc15709"/>
      <w:bookmarkStart w:id="262" w:name="_Toc4055201"/>
      <w:bookmarkStart w:id="263" w:name="_Toc4055736"/>
      <w:r>
        <w:rPr>
          <w:rFonts w:hint="eastAsia" w:ascii="宋体" w:hAnsi="宋体" w:eastAsia="宋体" w:cs="宋体"/>
          <w:sz w:val="22"/>
          <w:szCs w:val="32"/>
        </w:rPr>
        <w:t>通信地址：</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261"/>
      <w:bookmarkEnd w:id="262"/>
      <w:bookmarkEnd w:id="26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64" w:name="_Toc4055202"/>
      <w:bookmarkStart w:id="265" w:name="_Toc5753"/>
      <w:bookmarkStart w:id="266" w:name="_Toc4055737"/>
      <w:r>
        <w:rPr>
          <w:rFonts w:hint="eastAsia" w:ascii="宋体" w:hAnsi="宋体" w:eastAsia="宋体" w:cs="宋体"/>
          <w:sz w:val="22"/>
          <w:szCs w:val="32"/>
        </w:rPr>
        <w:t>发包人对发包人代表的授权范围如下：</w:t>
      </w:r>
      <w:bookmarkEnd w:id="264"/>
      <w:bookmarkEnd w:id="265"/>
      <w:bookmarkEnd w:id="26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67" w:name="_Toc32237"/>
      <w:bookmarkStart w:id="268" w:name="_Toc4055738"/>
      <w:bookmarkStart w:id="269" w:name="_Toc4055203"/>
      <w:r>
        <w:rPr>
          <w:rFonts w:hint="eastAsia" w:ascii="宋体" w:hAnsi="宋体" w:eastAsia="宋体" w:cs="宋体"/>
          <w:sz w:val="22"/>
          <w:szCs w:val="32"/>
          <w:u w:val="single"/>
        </w:rPr>
        <w:t>1、负责合同约定施工范围内的安全、质量、进度、成本、环境、施工管理等的监督和管理并监督施工工序及验收；</w:t>
      </w:r>
      <w:bookmarkEnd w:id="267"/>
      <w:bookmarkEnd w:id="268"/>
      <w:bookmarkEnd w:id="26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70" w:name="_Toc4055739"/>
      <w:bookmarkStart w:id="271" w:name="_Toc8556"/>
      <w:bookmarkStart w:id="272" w:name="_Toc4055204"/>
      <w:r>
        <w:rPr>
          <w:rFonts w:hint="eastAsia" w:ascii="宋体" w:hAnsi="宋体" w:eastAsia="宋体" w:cs="宋体"/>
          <w:sz w:val="22"/>
          <w:szCs w:val="32"/>
          <w:u w:val="single"/>
        </w:rPr>
        <w:t>2、合同的履行，代表发包人处理与本工程建设相关的事宜，对施工组织设计、质量监督、工程量签认、进出场材料、设备检验和使用、工程变更、工程量确认、工期顺延等事项的审核权。</w:t>
      </w:r>
      <w:bookmarkEnd w:id="270"/>
      <w:bookmarkEnd w:id="271"/>
      <w:bookmarkEnd w:id="27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73" w:name="_Toc21196"/>
      <w:bookmarkStart w:id="274" w:name="_Toc4055205"/>
      <w:bookmarkStart w:id="275" w:name="_Toc4055740"/>
      <w:r>
        <w:rPr>
          <w:rFonts w:hint="eastAsia" w:ascii="宋体" w:hAnsi="宋体" w:eastAsia="宋体" w:cs="宋体"/>
          <w:sz w:val="22"/>
          <w:szCs w:val="32"/>
        </w:rPr>
        <w:t>2.4 施工现场、施工条件和基础资料的提供</w:t>
      </w:r>
      <w:bookmarkEnd w:id="273"/>
      <w:bookmarkEnd w:id="274"/>
      <w:bookmarkEnd w:id="27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76" w:name="_Toc4055741"/>
      <w:bookmarkStart w:id="277" w:name="_Toc11973"/>
      <w:bookmarkStart w:id="278" w:name="_Toc4055206"/>
      <w:r>
        <w:rPr>
          <w:rFonts w:hint="eastAsia" w:ascii="宋体" w:hAnsi="宋体" w:eastAsia="宋体" w:cs="宋体"/>
          <w:sz w:val="22"/>
          <w:szCs w:val="32"/>
        </w:rPr>
        <w:t>2.4.1 提供施工现场</w:t>
      </w:r>
      <w:bookmarkEnd w:id="276"/>
      <w:bookmarkEnd w:id="277"/>
      <w:bookmarkEnd w:id="27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79" w:name="_Toc4055742"/>
      <w:bookmarkStart w:id="280" w:name="_Toc16256"/>
      <w:bookmarkStart w:id="281" w:name="_Toc4055207"/>
      <w:r>
        <w:rPr>
          <w:rFonts w:hint="eastAsia" w:ascii="宋体" w:hAnsi="宋体" w:eastAsia="宋体" w:cs="宋体"/>
          <w:sz w:val="22"/>
          <w:szCs w:val="32"/>
        </w:rPr>
        <w:t>关于发包人移交施工现场的期限要求：</w:t>
      </w:r>
      <w:r>
        <w:rPr>
          <w:rFonts w:hint="eastAsia" w:ascii="宋体" w:hAnsi="宋体" w:eastAsia="宋体" w:cs="宋体"/>
          <w:b/>
          <w:bCs/>
          <w:sz w:val="22"/>
          <w:szCs w:val="32"/>
          <w:u w:val="single"/>
        </w:rPr>
        <w:t>另行约定</w:t>
      </w:r>
      <w:r>
        <w:rPr>
          <w:rFonts w:hint="eastAsia" w:ascii="宋体" w:hAnsi="宋体" w:eastAsia="宋体" w:cs="宋体"/>
          <w:sz w:val="22"/>
          <w:szCs w:val="32"/>
        </w:rPr>
        <w:t>。</w:t>
      </w:r>
      <w:bookmarkEnd w:id="279"/>
      <w:bookmarkEnd w:id="280"/>
      <w:bookmarkEnd w:id="28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82" w:name="_Toc4055208"/>
      <w:bookmarkStart w:id="283" w:name="_Toc4055743"/>
      <w:bookmarkStart w:id="284" w:name="_Toc138"/>
      <w:r>
        <w:rPr>
          <w:rFonts w:hint="eastAsia" w:ascii="宋体" w:hAnsi="宋体" w:eastAsia="宋体" w:cs="宋体"/>
          <w:sz w:val="22"/>
          <w:szCs w:val="32"/>
        </w:rPr>
        <w:t>2.4.2 提供施工条件</w:t>
      </w:r>
      <w:bookmarkEnd w:id="282"/>
      <w:bookmarkEnd w:id="283"/>
      <w:bookmarkEnd w:id="28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85" w:name="_Toc40"/>
      <w:bookmarkStart w:id="286" w:name="_Toc4055209"/>
      <w:bookmarkStart w:id="287" w:name="_Toc4055744"/>
      <w:r>
        <w:rPr>
          <w:rFonts w:hint="eastAsia" w:ascii="宋体" w:hAnsi="宋体" w:eastAsia="宋体" w:cs="宋体"/>
          <w:sz w:val="22"/>
          <w:szCs w:val="32"/>
        </w:rPr>
        <w:t>关于发包人应负责提供施工所需要的条件，包括：</w:t>
      </w:r>
      <w:r>
        <w:rPr>
          <w:rFonts w:hint="eastAsia" w:ascii="宋体" w:hAnsi="宋体" w:eastAsia="宋体" w:cs="宋体"/>
          <w:b/>
          <w:bCs/>
          <w:sz w:val="22"/>
          <w:szCs w:val="32"/>
          <w:u w:val="single"/>
        </w:rPr>
        <w:t xml:space="preserve">不提供，由承包人自行解决并承担相应费用 </w:t>
      </w:r>
      <w:r>
        <w:rPr>
          <w:rFonts w:hint="eastAsia" w:ascii="宋体" w:hAnsi="宋体" w:eastAsia="宋体" w:cs="宋体"/>
          <w:sz w:val="22"/>
          <w:szCs w:val="32"/>
        </w:rPr>
        <w:t>。</w:t>
      </w:r>
      <w:bookmarkEnd w:id="285"/>
      <w:bookmarkEnd w:id="286"/>
      <w:bookmarkEnd w:id="28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88" w:name="_Toc4055210"/>
      <w:bookmarkStart w:id="289" w:name="_Toc9166"/>
      <w:bookmarkStart w:id="290" w:name="_Toc4055745"/>
      <w:r>
        <w:rPr>
          <w:rFonts w:hint="eastAsia" w:ascii="宋体" w:hAnsi="宋体" w:eastAsia="宋体" w:cs="宋体"/>
          <w:sz w:val="22"/>
          <w:szCs w:val="32"/>
        </w:rPr>
        <w:t>2.5 资金来源证明及支付担保</w:t>
      </w:r>
      <w:bookmarkEnd w:id="288"/>
      <w:bookmarkEnd w:id="289"/>
      <w:bookmarkEnd w:id="29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91" w:name="_Toc20814"/>
      <w:bookmarkStart w:id="292" w:name="_Toc4055211"/>
      <w:bookmarkStart w:id="293" w:name="_Toc4055746"/>
      <w:r>
        <w:rPr>
          <w:rFonts w:hint="eastAsia" w:ascii="宋体" w:hAnsi="宋体" w:eastAsia="宋体" w:cs="宋体"/>
          <w:sz w:val="22"/>
          <w:szCs w:val="32"/>
        </w:rPr>
        <w:t>发包人提供资金来源证明的期限要求：</w:t>
      </w:r>
      <w:r>
        <w:rPr>
          <w:rFonts w:hint="eastAsia" w:ascii="宋体" w:hAnsi="宋体" w:eastAsia="宋体" w:cs="宋体"/>
          <w:sz w:val="22"/>
          <w:szCs w:val="32"/>
          <w:u w:val="single"/>
        </w:rPr>
        <w:t>不提供</w:t>
      </w:r>
      <w:r>
        <w:rPr>
          <w:rFonts w:hint="eastAsia" w:ascii="宋体" w:hAnsi="宋体" w:eastAsia="宋体" w:cs="宋体"/>
          <w:sz w:val="22"/>
          <w:szCs w:val="32"/>
        </w:rPr>
        <w:t>。</w:t>
      </w:r>
      <w:bookmarkEnd w:id="291"/>
      <w:bookmarkEnd w:id="292"/>
      <w:bookmarkEnd w:id="29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294" w:name="_Toc4055212"/>
      <w:bookmarkStart w:id="295" w:name="_Toc4055747"/>
      <w:bookmarkStart w:id="296" w:name="_Toc16294"/>
      <w:r>
        <w:rPr>
          <w:rFonts w:hint="eastAsia" w:ascii="宋体" w:hAnsi="宋体" w:eastAsia="宋体" w:cs="宋体"/>
          <w:sz w:val="22"/>
          <w:szCs w:val="32"/>
        </w:rPr>
        <w:t>发包人是否提供支付担保：</w:t>
      </w:r>
      <w:r>
        <w:rPr>
          <w:rFonts w:hint="eastAsia" w:ascii="宋体" w:hAnsi="宋体" w:eastAsia="宋体" w:cs="宋体"/>
          <w:sz w:val="22"/>
          <w:szCs w:val="32"/>
          <w:u w:val="single"/>
        </w:rPr>
        <w:t>不提供</w:t>
      </w:r>
      <w:r>
        <w:rPr>
          <w:rFonts w:hint="eastAsia" w:ascii="宋体" w:hAnsi="宋体" w:eastAsia="宋体" w:cs="宋体"/>
          <w:sz w:val="22"/>
          <w:szCs w:val="32"/>
        </w:rPr>
        <w:t>。</w:t>
      </w:r>
      <w:bookmarkEnd w:id="294"/>
      <w:bookmarkEnd w:id="295"/>
      <w:bookmarkEnd w:id="29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297" w:name="_Toc3970"/>
      <w:bookmarkStart w:id="298" w:name="_Toc4055213"/>
      <w:bookmarkStart w:id="299" w:name="_Toc4055748"/>
      <w:r>
        <w:rPr>
          <w:rFonts w:hint="eastAsia" w:ascii="宋体" w:hAnsi="宋体" w:eastAsia="宋体" w:cs="宋体"/>
          <w:sz w:val="22"/>
          <w:szCs w:val="32"/>
        </w:rPr>
        <w:t>发包人提供支付担保的形式：</w:t>
      </w:r>
      <w:r>
        <w:rPr>
          <w:rFonts w:hint="eastAsia" w:ascii="宋体" w:hAnsi="宋体" w:eastAsia="宋体" w:cs="宋体"/>
          <w:sz w:val="22"/>
          <w:szCs w:val="32"/>
          <w:u w:val="single"/>
        </w:rPr>
        <w:t>不提供</w:t>
      </w:r>
      <w:r>
        <w:rPr>
          <w:rFonts w:hint="eastAsia" w:ascii="宋体" w:hAnsi="宋体" w:eastAsia="宋体" w:cs="宋体"/>
          <w:sz w:val="22"/>
          <w:szCs w:val="32"/>
        </w:rPr>
        <w:t>。</w:t>
      </w:r>
      <w:bookmarkEnd w:id="297"/>
      <w:bookmarkEnd w:id="298"/>
      <w:bookmarkEnd w:id="299"/>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300" w:name="_Toc4055749"/>
      <w:bookmarkStart w:id="301" w:name="_Toc4055214"/>
      <w:bookmarkStart w:id="302" w:name="_Toc4336"/>
      <w:r>
        <w:rPr>
          <w:rFonts w:hint="eastAsia" w:ascii="宋体" w:hAnsi="宋体" w:eastAsia="宋体" w:cs="宋体"/>
          <w:b/>
          <w:bCs/>
          <w:sz w:val="22"/>
          <w:szCs w:val="32"/>
        </w:rPr>
        <w:t>3. 承包人</w:t>
      </w:r>
      <w:bookmarkEnd w:id="300"/>
      <w:bookmarkEnd w:id="301"/>
      <w:bookmarkEnd w:id="30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03" w:name="_Toc4055750"/>
      <w:bookmarkStart w:id="304" w:name="_Toc13456"/>
      <w:bookmarkStart w:id="305" w:name="_Toc4055215"/>
      <w:r>
        <w:rPr>
          <w:rFonts w:hint="eastAsia" w:ascii="宋体" w:hAnsi="宋体" w:eastAsia="宋体" w:cs="宋体"/>
          <w:sz w:val="22"/>
          <w:szCs w:val="32"/>
        </w:rPr>
        <w:t>3.1 承包人的一般义务</w:t>
      </w:r>
      <w:bookmarkEnd w:id="303"/>
      <w:bookmarkEnd w:id="304"/>
      <w:bookmarkEnd w:id="30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306" w:name="_Toc8482"/>
      <w:bookmarkStart w:id="307" w:name="_Toc4055751"/>
      <w:bookmarkStart w:id="308" w:name="_Toc4055216"/>
      <w:r>
        <w:rPr>
          <w:rFonts w:hint="eastAsia" w:ascii="宋体" w:hAnsi="宋体" w:eastAsia="宋体" w:cs="宋体"/>
          <w:sz w:val="22"/>
          <w:szCs w:val="32"/>
        </w:rPr>
        <w:t>（9）承包人提交的竣工资料的内容：</w:t>
      </w:r>
      <w:r>
        <w:rPr>
          <w:rFonts w:hint="eastAsia" w:ascii="宋体" w:hAnsi="宋体" w:eastAsia="宋体" w:cs="宋体"/>
          <w:sz w:val="22"/>
          <w:szCs w:val="32"/>
          <w:u w:val="single"/>
        </w:rPr>
        <w:t>符合行业主管部门和南阳市主管部门对竣工资料内容的规定，包括但不限于施工技术管理资料、工程质量控制资料、竣工资料、整套竣工图纸等内容。</w:t>
      </w:r>
      <w:bookmarkEnd w:id="306"/>
      <w:bookmarkEnd w:id="307"/>
      <w:bookmarkEnd w:id="30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09" w:name="_Toc4055217"/>
      <w:bookmarkStart w:id="310" w:name="_Toc10120"/>
      <w:bookmarkStart w:id="311" w:name="_Toc4055752"/>
      <w:r>
        <w:rPr>
          <w:rFonts w:hint="eastAsia" w:ascii="宋体" w:hAnsi="宋体" w:eastAsia="宋体" w:cs="宋体"/>
          <w:sz w:val="22"/>
          <w:szCs w:val="32"/>
        </w:rPr>
        <w:t>承包人需要提交的竣工资料套数：</w:t>
      </w:r>
      <w:r>
        <w:rPr>
          <w:rFonts w:hint="eastAsia" w:ascii="宋体" w:hAnsi="宋体" w:eastAsia="宋体" w:cs="宋体"/>
          <w:sz w:val="22"/>
          <w:szCs w:val="32"/>
          <w:u w:val="single"/>
        </w:rPr>
        <w:t>按发包人要求。</w:t>
      </w:r>
      <w:bookmarkEnd w:id="309"/>
      <w:bookmarkEnd w:id="310"/>
      <w:bookmarkEnd w:id="31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12" w:name="_Toc30903"/>
      <w:bookmarkStart w:id="313" w:name="_Toc4055218"/>
      <w:bookmarkStart w:id="314" w:name="_Toc4055753"/>
      <w:r>
        <w:rPr>
          <w:rFonts w:hint="eastAsia" w:ascii="宋体" w:hAnsi="宋体" w:eastAsia="宋体" w:cs="宋体"/>
          <w:sz w:val="22"/>
          <w:szCs w:val="32"/>
        </w:rPr>
        <w:t>承包人提交的竣工资料的费用承担：</w:t>
      </w:r>
      <w:r>
        <w:rPr>
          <w:rFonts w:hint="eastAsia" w:ascii="宋体" w:hAnsi="宋体" w:eastAsia="宋体" w:cs="宋体"/>
          <w:sz w:val="22"/>
          <w:szCs w:val="32"/>
          <w:u w:val="single"/>
        </w:rPr>
        <w:t>由承包人承担</w:t>
      </w:r>
      <w:r>
        <w:rPr>
          <w:rFonts w:hint="eastAsia" w:ascii="宋体" w:hAnsi="宋体" w:eastAsia="宋体" w:cs="宋体"/>
          <w:sz w:val="22"/>
          <w:szCs w:val="32"/>
        </w:rPr>
        <w:t>。</w:t>
      </w:r>
      <w:bookmarkEnd w:id="312"/>
      <w:bookmarkEnd w:id="313"/>
      <w:bookmarkEnd w:id="31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15" w:name="_Toc4055754"/>
      <w:bookmarkStart w:id="316" w:name="_Toc15863"/>
      <w:bookmarkStart w:id="317" w:name="_Toc4055219"/>
      <w:r>
        <w:rPr>
          <w:rFonts w:hint="eastAsia" w:ascii="宋体" w:hAnsi="宋体" w:eastAsia="宋体" w:cs="宋体"/>
          <w:sz w:val="22"/>
          <w:szCs w:val="32"/>
        </w:rPr>
        <w:t>承包人提交的竣工资料移交时间：</w:t>
      </w:r>
      <w:r>
        <w:rPr>
          <w:rFonts w:hint="eastAsia" w:ascii="宋体" w:hAnsi="宋体" w:eastAsia="宋体" w:cs="宋体"/>
          <w:sz w:val="22"/>
          <w:szCs w:val="32"/>
          <w:u w:val="single"/>
        </w:rPr>
        <w:t>工程竣工验收合格后10天内向发包人移交竣工资料</w:t>
      </w:r>
      <w:r>
        <w:rPr>
          <w:rFonts w:hint="eastAsia" w:ascii="宋体" w:hAnsi="宋体" w:eastAsia="宋体" w:cs="宋体"/>
          <w:sz w:val="22"/>
          <w:szCs w:val="32"/>
        </w:rPr>
        <w:t>。</w:t>
      </w:r>
      <w:bookmarkEnd w:id="315"/>
      <w:bookmarkEnd w:id="316"/>
      <w:bookmarkEnd w:id="31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18" w:name="_Toc20990"/>
      <w:bookmarkStart w:id="319" w:name="_Toc4055220"/>
      <w:bookmarkStart w:id="320" w:name="_Toc4055755"/>
      <w:r>
        <w:rPr>
          <w:rFonts w:hint="eastAsia" w:ascii="宋体" w:hAnsi="宋体" w:eastAsia="宋体" w:cs="宋体"/>
          <w:sz w:val="22"/>
          <w:szCs w:val="32"/>
        </w:rPr>
        <w:t>承包人提交的竣工资料形式要求：</w:t>
      </w:r>
      <w:r>
        <w:rPr>
          <w:rFonts w:hint="eastAsia" w:ascii="宋体" w:hAnsi="宋体" w:eastAsia="宋体" w:cs="宋体"/>
          <w:sz w:val="22"/>
          <w:szCs w:val="32"/>
          <w:u w:val="single"/>
        </w:rPr>
        <w:t>书面及电子、扫描文档，资料必须真实、准确、完整</w:t>
      </w:r>
      <w:r>
        <w:rPr>
          <w:rFonts w:hint="eastAsia" w:ascii="宋体" w:hAnsi="宋体" w:eastAsia="宋体" w:cs="宋体"/>
          <w:sz w:val="22"/>
          <w:szCs w:val="32"/>
        </w:rPr>
        <w:t>。</w:t>
      </w:r>
      <w:bookmarkEnd w:id="318"/>
      <w:bookmarkEnd w:id="319"/>
      <w:bookmarkEnd w:id="32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21" w:name="_Toc4055756"/>
      <w:bookmarkStart w:id="322" w:name="_Toc4"/>
      <w:bookmarkStart w:id="323" w:name="_Toc4055221"/>
      <w:r>
        <w:rPr>
          <w:rFonts w:hint="eastAsia" w:ascii="宋体" w:hAnsi="宋体" w:eastAsia="宋体" w:cs="宋体"/>
          <w:sz w:val="22"/>
          <w:szCs w:val="32"/>
        </w:rPr>
        <w:t>（10）承包人应履行的其他义务：</w:t>
      </w:r>
      <w:bookmarkEnd w:id="321"/>
      <w:bookmarkEnd w:id="322"/>
      <w:bookmarkEnd w:id="32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24" w:name="_Toc4055222"/>
      <w:bookmarkStart w:id="325" w:name="_Toc14159"/>
      <w:bookmarkStart w:id="326" w:name="_Toc4055757"/>
      <w:r>
        <w:rPr>
          <w:rFonts w:hint="eastAsia" w:ascii="宋体" w:hAnsi="宋体" w:eastAsia="宋体" w:cs="宋体"/>
          <w:sz w:val="22"/>
          <w:szCs w:val="32"/>
          <w:u w:val="single"/>
        </w:rPr>
        <w:t>（1）按照省、市、区及交通管理部门要求做好交通保畅工作及其他应配合的工作，并承担相关费用</w:t>
      </w:r>
      <w:r>
        <w:rPr>
          <w:rFonts w:hint="eastAsia" w:ascii="宋体" w:hAnsi="宋体" w:eastAsia="宋体" w:cs="宋体"/>
          <w:sz w:val="22"/>
          <w:szCs w:val="32"/>
        </w:rPr>
        <w:t>。</w:t>
      </w:r>
      <w:bookmarkEnd w:id="324"/>
      <w:bookmarkEnd w:id="325"/>
      <w:bookmarkEnd w:id="326"/>
    </w:p>
    <w:p>
      <w:pPr>
        <w:keepNext w:val="0"/>
        <w:keepLines w:val="0"/>
        <w:numPr>
          <w:ilvl w:val="0"/>
          <w:numId w:val="4"/>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27" w:name="_Toc4055223"/>
      <w:bookmarkStart w:id="328" w:name="_Toc3658"/>
      <w:bookmarkStart w:id="329" w:name="_Toc4055758"/>
      <w:r>
        <w:rPr>
          <w:rFonts w:hint="eastAsia" w:ascii="宋体" w:hAnsi="宋体" w:eastAsia="宋体" w:cs="宋体"/>
          <w:sz w:val="22"/>
          <w:szCs w:val="32"/>
          <w:u w:val="single"/>
        </w:rPr>
        <w:t>承包人在履约过程中，对工程进度、安全、质量、现场文明施工和环境保护管理等方面应执行发包人各项管理制度和规定。</w:t>
      </w:r>
      <w:bookmarkEnd w:id="327"/>
      <w:bookmarkEnd w:id="328"/>
      <w:bookmarkEnd w:id="329"/>
    </w:p>
    <w:p>
      <w:pPr>
        <w:keepNext w:val="0"/>
        <w:keepLines w:val="0"/>
        <w:numPr>
          <w:ilvl w:val="0"/>
          <w:numId w:val="4"/>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30" w:name="_Toc4081"/>
      <w:bookmarkStart w:id="331" w:name="_Toc4055224"/>
      <w:bookmarkStart w:id="332" w:name="_Toc4055759"/>
      <w:r>
        <w:rPr>
          <w:rFonts w:hint="eastAsia" w:ascii="宋体" w:hAnsi="宋体" w:eastAsia="宋体" w:cs="宋体"/>
          <w:sz w:val="22"/>
          <w:szCs w:val="32"/>
          <w:u w:val="single"/>
        </w:rPr>
        <w:t>在工程实施过程中和缺陷责任期间，工程出现突发状况，承包人应第一时间组织抢险维修，发生的费用由责任方承担。</w:t>
      </w:r>
      <w:bookmarkEnd w:id="330"/>
      <w:bookmarkEnd w:id="331"/>
      <w:bookmarkEnd w:id="332"/>
    </w:p>
    <w:p>
      <w:pPr>
        <w:keepNext w:val="0"/>
        <w:keepLines w:val="0"/>
        <w:numPr>
          <w:ilvl w:val="0"/>
          <w:numId w:val="4"/>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333" w:name="_Toc4055760"/>
      <w:bookmarkStart w:id="334" w:name="_Toc16293"/>
      <w:bookmarkStart w:id="335" w:name="_Toc4055225"/>
      <w:r>
        <w:rPr>
          <w:rFonts w:hint="eastAsia" w:ascii="宋体" w:hAnsi="宋体" w:eastAsia="宋体" w:cs="宋体"/>
          <w:sz w:val="22"/>
          <w:szCs w:val="32"/>
          <w:u w:val="single"/>
        </w:rPr>
        <w:t>承包人应严格按照国家、省、市、区关于扬尘治理“七个百分之百(现场围挡封闭100%、现场湿作业法100%、厂区道路硬化100%、渣土物料覆盖100%、在建楼体封闭100%、出入车辆清洗100%、远程监控安装100%)”等相关管理办法、要求执行落实，所需费用由承包人承担。</w:t>
      </w:r>
      <w:bookmarkEnd w:id="333"/>
      <w:bookmarkEnd w:id="334"/>
      <w:bookmarkEnd w:id="335"/>
    </w:p>
    <w:p>
      <w:pPr>
        <w:keepNext w:val="0"/>
        <w:keepLines w:val="0"/>
        <w:numPr>
          <w:ilvl w:val="0"/>
          <w:numId w:val="4"/>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36" w:name="_Toc4055226"/>
      <w:bookmarkStart w:id="337" w:name="_Toc4055761"/>
      <w:bookmarkStart w:id="338" w:name="_Toc31036"/>
      <w:r>
        <w:rPr>
          <w:rFonts w:hint="eastAsia" w:ascii="宋体" w:hAnsi="宋体" w:eastAsia="宋体" w:cs="宋体"/>
          <w:sz w:val="22"/>
          <w:szCs w:val="32"/>
          <w:u w:val="single"/>
        </w:rPr>
        <w:t>承包人在开工前，应按照国家相关文件要求办理“农民工工资保证金”事宜，并在工程实施阶段建立农民工工资发放台账，确保不拖欠农民工工资。</w:t>
      </w:r>
      <w:bookmarkEnd w:id="336"/>
      <w:bookmarkEnd w:id="337"/>
      <w:bookmarkEnd w:id="338"/>
    </w:p>
    <w:p>
      <w:pPr>
        <w:keepNext w:val="0"/>
        <w:keepLines w:val="0"/>
        <w:numPr>
          <w:ilvl w:val="0"/>
          <w:numId w:val="4"/>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339" w:name="_Toc32336"/>
      <w:bookmarkStart w:id="340" w:name="_Toc4055227"/>
      <w:bookmarkStart w:id="341" w:name="_Toc4055762"/>
      <w:r>
        <w:rPr>
          <w:rFonts w:hint="eastAsia" w:ascii="宋体" w:hAnsi="宋体" w:eastAsia="宋体" w:cs="宋体"/>
          <w:sz w:val="22"/>
          <w:szCs w:val="32"/>
          <w:u w:val="single"/>
        </w:rPr>
        <w:t>承包人保证工程通过相关部门验收。</w:t>
      </w:r>
      <w:bookmarkEnd w:id="339"/>
      <w:bookmarkEnd w:id="340"/>
      <w:bookmarkEnd w:id="341"/>
    </w:p>
    <w:p>
      <w:pPr>
        <w:keepNext w:val="0"/>
        <w:keepLines w:val="0"/>
        <w:numPr>
          <w:ilvl w:val="0"/>
          <w:numId w:val="4"/>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342" w:name="_Toc30137"/>
      <w:bookmarkStart w:id="343" w:name="_Toc4055763"/>
      <w:bookmarkStart w:id="344" w:name="_Toc4055228"/>
      <w:r>
        <w:rPr>
          <w:rFonts w:hint="eastAsia" w:ascii="宋体" w:hAnsi="宋体" w:eastAsia="宋体" w:cs="宋体"/>
          <w:sz w:val="22"/>
          <w:szCs w:val="32"/>
          <w:u w:val="single"/>
        </w:rPr>
        <w:t>承包人应自行解决施工现场临时用水、用电的接入及使用以及临建场地与建设事项，由此产生的费用由承包人承担，发包人配合协助。</w:t>
      </w:r>
      <w:bookmarkEnd w:id="342"/>
      <w:bookmarkEnd w:id="343"/>
      <w:bookmarkEnd w:id="34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r>
        <w:rPr>
          <w:rFonts w:hint="eastAsia" w:ascii="宋体" w:hAnsi="宋体" w:eastAsia="宋体" w:cs="宋体"/>
          <w:sz w:val="22"/>
          <w:szCs w:val="32"/>
        </w:rPr>
        <w:t xml:space="preserve"> </w:t>
      </w:r>
      <w:bookmarkStart w:id="345" w:name="_Toc4055764"/>
      <w:bookmarkStart w:id="346" w:name="_Toc4055229"/>
      <w:bookmarkStart w:id="347" w:name="_Toc26370"/>
      <w:r>
        <w:rPr>
          <w:rFonts w:hint="eastAsia" w:ascii="宋体" w:hAnsi="宋体" w:eastAsia="宋体" w:cs="宋体"/>
          <w:sz w:val="22"/>
          <w:szCs w:val="32"/>
        </w:rPr>
        <w:t xml:space="preserve">3.2 </w:t>
      </w:r>
      <w:bookmarkEnd w:id="345"/>
      <w:bookmarkEnd w:id="346"/>
      <w:r>
        <w:rPr>
          <w:rFonts w:hint="eastAsia" w:ascii="宋体" w:hAnsi="宋体" w:eastAsia="宋体" w:cs="宋体"/>
          <w:sz w:val="22"/>
          <w:szCs w:val="32"/>
        </w:rPr>
        <w:t>项目经理</w:t>
      </w:r>
      <w:bookmarkEnd w:id="34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48" w:name="_Toc4055765"/>
      <w:bookmarkStart w:id="349" w:name="_Toc4055230"/>
      <w:bookmarkStart w:id="350" w:name="_Toc2635"/>
      <w:r>
        <w:rPr>
          <w:rFonts w:hint="eastAsia" w:ascii="宋体" w:hAnsi="宋体" w:eastAsia="宋体" w:cs="宋体"/>
          <w:sz w:val="22"/>
          <w:szCs w:val="32"/>
        </w:rPr>
        <w:t>3.2.1 项目经理：</w:t>
      </w:r>
      <w:bookmarkEnd w:id="348"/>
      <w:bookmarkEnd w:id="349"/>
      <w:bookmarkEnd w:id="35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51" w:name="_Toc4055766"/>
      <w:bookmarkStart w:id="352" w:name="_Toc496"/>
      <w:bookmarkStart w:id="353" w:name="_Toc4055231"/>
      <w:r>
        <w:rPr>
          <w:rFonts w:hint="eastAsia" w:ascii="宋体" w:hAnsi="宋体" w:eastAsia="宋体" w:cs="宋体"/>
          <w:sz w:val="22"/>
          <w:szCs w:val="32"/>
        </w:rPr>
        <w:t>姓名：</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351"/>
      <w:bookmarkEnd w:id="352"/>
      <w:bookmarkEnd w:id="35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54" w:name="_Toc4055767"/>
      <w:bookmarkStart w:id="355" w:name="_Toc25007"/>
      <w:bookmarkStart w:id="356" w:name="_Toc4055232"/>
      <w:r>
        <w:rPr>
          <w:rFonts w:hint="eastAsia" w:ascii="宋体" w:hAnsi="宋体" w:eastAsia="宋体" w:cs="宋体"/>
          <w:sz w:val="22"/>
          <w:szCs w:val="32"/>
        </w:rPr>
        <w:t>身份证号：</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354"/>
      <w:bookmarkEnd w:id="355"/>
      <w:bookmarkEnd w:id="35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57" w:name="_Toc4055768"/>
      <w:bookmarkStart w:id="358" w:name="_Toc27868"/>
      <w:bookmarkStart w:id="359" w:name="_Toc4055233"/>
      <w:r>
        <w:rPr>
          <w:rFonts w:hint="eastAsia" w:ascii="宋体" w:hAnsi="宋体" w:eastAsia="宋体" w:cs="宋体"/>
          <w:sz w:val="22"/>
          <w:szCs w:val="32"/>
        </w:rPr>
        <w:t>建造师执业资格等级：</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357"/>
      <w:bookmarkEnd w:id="358"/>
      <w:bookmarkEnd w:id="35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60" w:name="_Toc4055769"/>
      <w:bookmarkStart w:id="361" w:name="_Toc4055234"/>
      <w:bookmarkStart w:id="362" w:name="_Toc4297"/>
      <w:r>
        <w:rPr>
          <w:rFonts w:hint="eastAsia" w:ascii="宋体" w:hAnsi="宋体" w:eastAsia="宋体" w:cs="宋体"/>
          <w:sz w:val="22"/>
          <w:szCs w:val="32"/>
        </w:rPr>
        <w:t>建造师注册证书号：</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360"/>
      <w:bookmarkEnd w:id="361"/>
      <w:bookmarkEnd w:id="36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63" w:name="_Toc4055770"/>
      <w:bookmarkStart w:id="364" w:name="_Toc18071"/>
      <w:bookmarkStart w:id="365" w:name="_Toc4055235"/>
      <w:r>
        <w:rPr>
          <w:rFonts w:hint="eastAsia" w:ascii="宋体" w:hAnsi="宋体" w:eastAsia="宋体" w:cs="宋体"/>
          <w:sz w:val="22"/>
          <w:szCs w:val="32"/>
        </w:rPr>
        <w:t>建造师执业印章号：</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363"/>
      <w:bookmarkEnd w:id="364"/>
      <w:bookmarkEnd w:id="36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66" w:name="_Toc4055236"/>
      <w:bookmarkStart w:id="367" w:name="_Toc4055771"/>
      <w:bookmarkStart w:id="368" w:name="_Toc10910"/>
      <w:r>
        <w:rPr>
          <w:rFonts w:hint="eastAsia" w:ascii="宋体" w:hAnsi="宋体" w:eastAsia="宋体" w:cs="宋体"/>
          <w:sz w:val="22"/>
          <w:szCs w:val="32"/>
        </w:rPr>
        <w:t>职称：</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366"/>
      <w:bookmarkEnd w:id="367"/>
      <w:bookmarkEnd w:id="36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69" w:name="_Toc4055772"/>
      <w:bookmarkStart w:id="370" w:name="_Toc4055237"/>
      <w:bookmarkStart w:id="371" w:name="_Toc28579"/>
      <w:r>
        <w:rPr>
          <w:rFonts w:hint="eastAsia" w:ascii="宋体" w:hAnsi="宋体" w:eastAsia="宋体" w:cs="宋体"/>
          <w:sz w:val="22"/>
          <w:szCs w:val="32"/>
        </w:rPr>
        <w:t>联系电话：</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369"/>
      <w:bookmarkEnd w:id="370"/>
      <w:bookmarkEnd w:id="37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72" w:name="_Toc4055238"/>
      <w:bookmarkStart w:id="373" w:name="_Toc4055773"/>
      <w:bookmarkStart w:id="374" w:name="_Toc2290"/>
      <w:r>
        <w:rPr>
          <w:rFonts w:hint="eastAsia" w:ascii="宋体" w:hAnsi="宋体" w:eastAsia="宋体" w:cs="宋体"/>
          <w:sz w:val="22"/>
          <w:szCs w:val="32"/>
        </w:rPr>
        <w:t>电子信箱：</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372"/>
      <w:bookmarkEnd w:id="373"/>
      <w:bookmarkEnd w:id="37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75" w:name="_Toc4055239"/>
      <w:bookmarkStart w:id="376" w:name="_Toc4314"/>
      <w:bookmarkStart w:id="377" w:name="_Toc4055774"/>
      <w:r>
        <w:rPr>
          <w:rFonts w:hint="eastAsia" w:ascii="宋体" w:hAnsi="宋体" w:eastAsia="宋体" w:cs="宋体"/>
          <w:sz w:val="22"/>
          <w:szCs w:val="32"/>
        </w:rPr>
        <w:t>通信地址：</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375"/>
      <w:bookmarkEnd w:id="376"/>
      <w:bookmarkEnd w:id="37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378" w:name="_Toc4055240"/>
      <w:bookmarkStart w:id="379" w:name="_Toc5845"/>
      <w:bookmarkStart w:id="380" w:name="_Toc4055775"/>
      <w:r>
        <w:rPr>
          <w:rFonts w:hint="eastAsia" w:ascii="宋体" w:hAnsi="宋体" w:eastAsia="宋体" w:cs="宋体"/>
          <w:sz w:val="22"/>
          <w:szCs w:val="32"/>
        </w:rPr>
        <w:t>承包人对项目经理的授权范围如下：</w:t>
      </w:r>
      <w:r>
        <w:rPr>
          <w:rFonts w:hint="eastAsia" w:ascii="宋体" w:hAnsi="宋体" w:eastAsia="宋体" w:cs="宋体"/>
          <w:sz w:val="22"/>
          <w:szCs w:val="32"/>
          <w:u w:val="single"/>
        </w:rPr>
        <w:t>代表承包人行使本合同约定的权利，履行本合同约定的义务。</w:t>
      </w:r>
      <w:bookmarkEnd w:id="378"/>
      <w:bookmarkEnd w:id="379"/>
      <w:bookmarkEnd w:id="38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381" w:name="_Toc4055776"/>
      <w:bookmarkStart w:id="382" w:name="_Toc8252"/>
      <w:bookmarkStart w:id="383" w:name="_Toc4055241"/>
      <w:r>
        <w:rPr>
          <w:rFonts w:hint="eastAsia" w:ascii="宋体" w:hAnsi="宋体" w:eastAsia="宋体" w:cs="宋体"/>
          <w:sz w:val="22"/>
          <w:szCs w:val="32"/>
        </w:rPr>
        <w:t>关于项目经理每月在施工现场的时间要求：</w:t>
      </w:r>
      <w:r>
        <w:rPr>
          <w:rFonts w:hint="eastAsia" w:ascii="宋体" w:hAnsi="宋体" w:eastAsia="宋体" w:cs="宋体"/>
          <w:sz w:val="22"/>
          <w:szCs w:val="32"/>
          <w:u w:val="single"/>
        </w:rPr>
        <w:t>开工之日起到竣工验收结束，每月现场办公不少于25天，每周不少于5日。缺勤一次支付违约金1000元</w:t>
      </w:r>
      <w:r>
        <w:rPr>
          <w:rFonts w:hint="eastAsia" w:ascii="宋体" w:hAnsi="宋体" w:eastAsia="宋体" w:cs="宋体"/>
          <w:sz w:val="22"/>
          <w:szCs w:val="32"/>
        </w:rPr>
        <w:t>。</w:t>
      </w:r>
      <w:bookmarkEnd w:id="381"/>
      <w:bookmarkEnd w:id="382"/>
      <w:bookmarkEnd w:id="38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384" w:name="_Toc5292"/>
      <w:bookmarkStart w:id="385" w:name="_Toc4055242"/>
      <w:bookmarkStart w:id="386" w:name="_Toc4055777"/>
      <w:r>
        <w:rPr>
          <w:rFonts w:hint="eastAsia" w:ascii="宋体" w:hAnsi="宋体" w:eastAsia="宋体" w:cs="宋体"/>
          <w:sz w:val="22"/>
          <w:szCs w:val="32"/>
        </w:rPr>
        <w:t>承包人未提交劳动合同，以及没有为项目经理缴纳社会保险证明的违约责任：</w:t>
      </w:r>
      <w:r>
        <w:rPr>
          <w:rFonts w:hint="eastAsia" w:ascii="宋体" w:hAnsi="宋体" w:eastAsia="宋体" w:cs="宋体"/>
          <w:szCs w:val="21"/>
          <w:u w:val="single"/>
        </w:rPr>
        <w:t>由承包人承担</w:t>
      </w:r>
      <w:r>
        <w:rPr>
          <w:rFonts w:hint="eastAsia" w:ascii="宋体" w:hAnsi="宋体" w:eastAsia="宋体" w:cs="宋体"/>
          <w:sz w:val="22"/>
          <w:szCs w:val="32"/>
        </w:rPr>
        <w:t>。</w:t>
      </w:r>
      <w:bookmarkEnd w:id="384"/>
      <w:bookmarkEnd w:id="385"/>
      <w:bookmarkEnd w:id="38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387" w:name="_Toc7517"/>
      <w:bookmarkStart w:id="388" w:name="_Toc4055778"/>
      <w:bookmarkStart w:id="389" w:name="_Toc4055243"/>
      <w:r>
        <w:rPr>
          <w:rFonts w:hint="eastAsia" w:ascii="宋体" w:hAnsi="宋体" w:eastAsia="宋体" w:cs="宋体"/>
          <w:sz w:val="22"/>
          <w:szCs w:val="32"/>
        </w:rPr>
        <w:t>项目经理未经批准，擅自离开施工现场的违约责任：</w:t>
      </w:r>
      <w:r>
        <w:rPr>
          <w:rFonts w:hint="eastAsia" w:ascii="宋体" w:hAnsi="宋体" w:eastAsia="宋体" w:cs="宋体"/>
          <w:sz w:val="22"/>
          <w:szCs w:val="32"/>
          <w:u w:val="single"/>
        </w:rPr>
        <w:t xml:space="preserve">  由此造成的一切损失均由承包人承担，另向发包人支付违约金每日3000元。</w:t>
      </w:r>
      <w:bookmarkEnd w:id="387"/>
      <w:bookmarkEnd w:id="388"/>
      <w:bookmarkEnd w:id="38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90" w:name="_Toc18811"/>
      <w:bookmarkStart w:id="391" w:name="_Toc4055779"/>
      <w:bookmarkStart w:id="392" w:name="_Toc4055244"/>
      <w:r>
        <w:rPr>
          <w:rFonts w:hint="eastAsia" w:ascii="宋体" w:hAnsi="宋体" w:eastAsia="宋体" w:cs="宋体"/>
          <w:sz w:val="22"/>
          <w:szCs w:val="32"/>
        </w:rPr>
        <w:t>3.2.2承包人不得在施工期间更换项目经理、技术负责人及投标时配备的施工管理人员。</w:t>
      </w:r>
      <w:bookmarkEnd w:id="390"/>
      <w:bookmarkEnd w:id="391"/>
      <w:bookmarkEnd w:id="39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93" w:name="_Toc18946"/>
      <w:bookmarkStart w:id="394" w:name="_Toc4055246"/>
      <w:bookmarkStart w:id="395" w:name="_Toc4055781"/>
      <w:r>
        <w:rPr>
          <w:rFonts w:hint="eastAsia" w:ascii="宋体" w:hAnsi="宋体" w:eastAsia="宋体" w:cs="宋体"/>
          <w:sz w:val="22"/>
          <w:szCs w:val="32"/>
        </w:rPr>
        <w:t>3.3 承包人人员</w:t>
      </w:r>
      <w:bookmarkEnd w:id="393"/>
      <w:bookmarkEnd w:id="394"/>
      <w:bookmarkEnd w:id="39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96" w:name="_Toc4055782"/>
      <w:bookmarkStart w:id="397" w:name="_Toc4055247"/>
      <w:bookmarkStart w:id="398" w:name="_Toc29558"/>
      <w:r>
        <w:rPr>
          <w:rFonts w:hint="eastAsia" w:ascii="宋体" w:hAnsi="宋体" w:eastAsia="宋体" w:cs="宋体"/>
          <w:sz w:val="22"/>
          <w:szCs w:val="32"/>
        </w:rPr>
        <w:t>3.3.1 承包人提交项目管理机构及施工现场管理人员安排报告的期限：</w:t>
      </w:r>
      <w:r>
        <w:rPr>
          <w:rFonts w:hint="eastAsia" w:ascii="宋体" w:hAnsi="宋体" w:eastAsia="宋体" w:cs="宋体"/>
          <w:sz w:val="22"/>
          <w:szCs w:val="32"/>
          <w:u w:val="single"/>
        </w:rPr>
        <w:t>执行通用合同条款3.3.1</w:t>
      </w:r>
      <w:r>
        <w:rPr>
          <w:rFonts w:hint="eastAsia" w:ascii="宋体" w:hAnsi="宋体" w:eastAsia="宋体" w:cs="宋体"/>
          <w:sz w:val="22"/>
          <w:szCs w:val="32"/>
        </w:rPr>
        <w:t>。</w:t>
      </w:r>
      <w:bookmarkEnd w:id="396"/>
      <w:bookmarkEnd w:id="397"/>
      <w:bookmarkEnd w:id="39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399" w:name="_Toc4055248"/>
      <w:bookmarkStart w:id="400" w:name="_Toc4055783"/>
      <w:bookmarkStart w:id="401" w:name="_Toc2291"/>
      <w:r>
        <w:rPr>
          <w:rFonts w:hint="eastAsia" w:ascii="宋体" w:hAnsi="宋体" w:eastAsia="宋体" w:cs="宋体"/>
          <w:sz w:val="22"/>
          <w:szCs w:val="32"/>
        </w:rPr>
        <w:t>3.3.1.1项目技术负责人开工之日起到竣工验收结束，每月现场办公不少于25天，每周不少于5日。缺勤一次支付违约金1000元</w:t>
      </w:r>
      <w:bookmarkEnd w:id="399"/>
      <w:bookmarkEnd w:id="400"/>
      <w:bookmarkStart w:id="402" w:name="_Toc4055249"/>
      <w:bookmarkStart w:id="403" w:name="_Toc4055784"/>
      <w:r>
        <w:rPr>
          <w:rFonts w:hint="eastAsia" w:ascii="宋体" w:hAnsi="宋体" w:eastAsia="宋体" w:cs="宋体"/>
          <w:sz w:val="22"/>
          <w:szCs w:val="32"/>
        </w:rPr>
        <w:t>。</w:t>
      </w:r>
      <w:bookmarkEnd w:id="401"/>
    </w:p>
    <w:bookmarkEnd w:id="402"/>
    <w:bookmarkEnd w:id="403"/>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04" w:name="_Toc4055250"/>
      <w:bookmarkStart w:id="405" w:name="_Toc6691"/>
      <w:bookmarkStart w:id="406" w:name="_Toc4055785"/>
      <w:r>
        <w:rPr>
          <w:rFonts w:hint="eastAsia" w:ascii="宋体" w:hAnsi="宋体" w:eastAsia="宋体" w:cs="宋体"/>
          <w:sz w:val="22"/>
          <w:szCs w:val="32"/>
        </w:rPr>
        <w:t>3.3.2 承包人主要施工管理人员离开施工现场的批准要求：</w:t>
      </w:r>
      <w:r>
        <w:rPr>
          <w:rFonts w:hint="eastAsia" w:ascii="宋体" w:hAnsi="宋体" w:eastAsia="宋体" w:cs="宋体"/>
          <w:sz w:val="22"/>
          <w:szCs w:val="32"/>
          <w:u w:val="single"/>
        </w:rPr>
        <w:t>每天每人支付违约金2000元</w:t>
      </w:r>
      <w:r>
        <w:rPr>
          <w:rFonts w:hint="eastAsia" w:ascii="宋体" w:hAnsi="宋体" w:eastAsia="宋体" w:cs="宋体"/>
          <w:sz w:val="22"/>
          <w:szCs w:val="32"/>
        </w:rPr>
        <w:t>。</w:t>
      </w:r>
      <w:bookmarkEnd w:id="404"/>
      <w:bookmarkEnd w:id="405"/>
      <w:bookmarkEnd w:id="40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07" w:name="_Toc4055787"/>
      <w:bookmarkStart w:id="408" w:name="_Toc7179"/>
      <w:bookmarkStart w:id="409" w:name="_Toc4055252"/>
      <w:r>
        <w:rPr>
          <w:rFonts w:hint="eastAsia" w:ascii="宋体" w:hAnsi="宋体" w:eastAsia="宋体" w:cs="宋体"/>
          <w:sz w:val="22"/>
          <w:szCs w:val="32"/>
        </w:rPr>
        <w:t>承包人主要施工管理人员擅自离开施工现场的违约责任：</w:t>
      </w:r>
      <w:r>
        <w:rPr>
          <w:rFonts w:hint="eastAsia" w:ascii="宋体" w:hAnsi="宋体" w:eastAsia="宋体" w:cs="宋体"/>
          <w:sz w:val="22"/>
          <w:szCs w:val="32"/>
          <w:u w:val="single"/>
        </w:rPr>
        <w:t>处以2000元/人·次违约金，承包人承担上述违约给发包人造成的一切损失</w:t>
      </w:r>
      <w:r>
        <w:rPr>
          <w:rFonts w:hint="eastAsia" w:ascii="宋体" w:hAnsi="宋体" w:eastAsia="宋体" w:cs="宋体"/>
          <w:sz w:val="22"/>
          <w:szCs w:val="32"/>
        </w:rPr>
        <w:t>。</w:t>
      </w:r>
      <w:bookmarkEnd w:id="407"/>
      <w:bookmarkEnd w:id="408"/>
      <w:bookmarkEnd w:id="40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10" w:name="_Toc13979"/>
      <w:bookmarkStart w:id="411" w:name="_Toc4055788"/>
      <w:bookmarkStart w:id="412" w:name="_Toc4055253"/>
      <w:r>
        <w:rPr>
          <w:rFonts w:hint="eastAsia" w:ascii="宋体" w:hAnsi="宋体" w:eastAsia="宋体" w:cs="宋体"/>
          <w:sz w:val="22"/>
          <w:szCs w:val="32"/>
        </w:rPr>
        <w:t>3.5 分包</w:t>
      </w:r>
      <w:bookmarkEnd w:id="410"/>
      <w:bookmarkEnd w:id="411"/>
      <w:bookmarkEnd w:id="41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13" w:name="_Toc1030"/>
      <w:bookmarkStart w:id="414" w:name="_Toc4055789"/>
      <w:bookmarkStart w:id="415" w:name="_Toc4055254"/>
      <w:r>
        <w:rPr>
          <w:rFonts w:hint="eastAsia" w:ascii="宋体" w:hAnsi="宋体" w:eastAsia="宋体" w:cs="宋体"/>
          <w:sz w:val="22"/>
          <w:szCs w:val="32"/>
        </w:rPr>
        <w:t>3.5.1 分包的一般约定</w:t>
      </w:r>
      <w:bookmarkEnd w:id="413"/>
      <w:bookmarkEnd w:id="414"/>
      <w:bookmarkEnd w:id="41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16" w:name="_Toc4055790"/>
      <w:bookmarkStart w:id="417" w:name="_Toc2720"/>
      <w:bookmarkStart w:id="418" w:name="_Toc4055255"/>
      <w:r>
        <w:rPr>
          <w:rFonts w:hint="eastAsia" w:ascii="宋体" w:hAnsi="宋体" w:eastAsia="宋体" w:cs="宋体"/>
          <w:sz w:val="22"/>
          <w:szCs w:val="32"/>
        </w:rPr>
        <w:t>禁止分包的工程包括：</w:t>
      </w:r>
      <w:r>
        <w:rPr>
          <w:rFonts w:hint="eastAsia" w:ascii="宋体" w:hAnsi="宋体" w:eastAsia="宋体" w:cs="宋体"/>
          <w:sz w:val="22"/>
          <w:szCs w:val="32"/>
          <w:u w:val="single"/>
        </w:rPr>
        <w:t>/。</w:t>
      </w:r>
      <w:bookmarkEnd w:id="416"/>
      <w:bookmarkEnd w:id="417"/>
      <w:bookmarkEnd w:id="41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419" w:name="_Toc4055791"/>
      <w:bookmarkStart w:id="420" w:name="_Toc4055256"/>
      <w:bookmarkStart w:id="421" w:name="_Toc6060"/>
      <w:r>
        <w:rPr>
          <w:rFonts w:hint="eastAsia" w:ascii="宋体" w:hAnsi="宋体" w:eastAsia="宋体" w:cs="宋体"/>
          <w:sz w:val="22"/>
          <w:szCs w:val="32"/>
        </w:rPr>
        <w:t>主体结构、关键性工作的范围：</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419"/>
      <w:bookmarkEnd w:id="420"/>
      <w:bookmarkEnd w:id="42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r>
        <w:rPr>
          <w:rFonts w:hint="eastAsia" w:ascii="宋体" w:hAnsi="宋体" w:eastAsia="宋体" w:cs="宋体"/>
          <w:sz w:val="22"/>
          <w:szCs w:val="32"/>
        </w:rPr>
        <w:t xml:space="preserve">    </w:t>
      </w:r>
      <w:bookmarkStart w:id="422" w:name="_Toc1451"/>
      <w:bookmarkStart w:id="423" w:name="_Toc4055792"/>
      <w:bookmarkStart w:id="424" w:name="_Toc4055257"/>
      <w:r>
        <w:rPr>
          <w:rFonts w:hint="eastAsia" w:ascii="宋体" w:hAnsi="宋体" w:eastAsia="宋体" w:cs="宋体"/>
          <w:sz w:val="22"/>
          <w:szCs w:val="32"/>
        </w:rPr>
        <w:t>3.5.2分包的确定</w:t>
      </w:r>
      <w:bookmarkEnd w:id="422"/>
      <w:bookmarkEnd w:id="423"/>
      <w:bookmarkEnd w:id="42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425" w:name="_Toc21818"/>
      <w:bookmarkStart w:id="426" w:name="_Toc4055258"/>
      <w:bookmarkStart w:id="427" w:name="_Toc4055793"/>
      <w:r>
        <w:rPr>
          <w:rFonts w:hint="eastAsia" w:ascii="宋体" w:hAnsi="宋体" w:eastAsia="宋体" w:cs="宋体"/>
          <w:sz w:val="22"/>
          <w:szCs w:val="32"/>
        </w:rPr>
        <w:t>允许分包的专业工程包括：</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425"/>
      <w:bookmarkEnd w:id="426"/>
      <w:bookmarkEnd w:id="42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28" w:name="_Toc20251"/>
      <w:bookmarkStart w:id="429" w:name="_Toc4055794"/>
      <w:bookmarkStart w:id="430" w:name="_Toc4055259"/>
      <w:r>
        <w:rPr>
          <w:rFonts w:hint="eastAsia" w:ascii="宋体" w:hAnsi="宋体" w:eastAsia="宋体" w:cs="宋体"/>
          <w:sz w:val="22"/>
          <w:szCs w:val="32"/>
        </w:rPr>
        <w:t>其他关于分包的约定：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428"/>
      <w:bookmarkEnd w:id="429"/>
      <w:bookmarkEnd w:id="43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31" w:name="_Toc18495"/>
      <w:bookmarkStart w:id="432" w:name="_Toc4055260"/>
      <w:bookmarkStart w:id="433" w:name="_Toc4055795"/>
      <w:r>
        <w:rPr>
          <w:rFonts w:hint="eastAsia" w:ascii="宋体" w:hAnsi="宋体" w:eastAsia="宋体" w:cs="宋体"/>
          <w:sz w:val="22"/>
          <w:szCs w:val="32"/>
        </w:rPr>
        <w:t>3.5.4 分包合同价款</w:t>
      </w:r>
      <w:bookmarkEnd w:id="431"/>
      <w:bookmarkEnd w:id="432"/>
      <w:bookmarkEnd w:id="43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34" w:name="_Toc4055261"/>
      <w:bookmarkStart w:id="435" w:name="_Toc1835"/>
      <w:bookmarkStart w:id="436" w:name="_Toc4055796"/>
      <w:r>
        <w:rPr>
          <w:rFonts w:hint="eastAsia" w:ascii="宋体" w:hAnsi="宋体" w:eastAsia="宋体" w:cs="宋体"/>
          <w:sz w:val="22"/>
          <w:szCs w:val="32"/>
        </w:rPr>
        <w:t>关于分包合同价款支付的约定：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434"/>
      <w:bookmarkEnd w:id="435"/>
      <w:bookmarkEnd w:id="43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37" w:name="_Toc28493"/>
      <w:bookmarkStart w:id="438" w:name="_Toc4055797"/>
      <w:bookmarkStart w:id="439" w:name="_Toc4055262"/>
      <w:r>
        <w:rPr>
          <w:rFonts w:hint="eastAsia" w:ascii="宋体" w:hAnsi="宋体" w:eastAsia="宋体" w:cs="宋体"/>
          <w:sz w:val="22"/>
          <w:szCs w:val="32"/>
        </w:rPr>
        <w:t>3.6 工程照管与成品、半成品保护</w:t>
      </w:r>
      <w:bookmarkEnd w:id="437"/>
      <w:bookmarkEnd w:id="438"/>
      <w:bookmarkEnd w:id="43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440" w:name="_Toc4055263"/>
      <w:bookmarkStart w:id="441" w:name="_Toc4055798"/>
      <w:bookmarkStart w:id="442" w:name="_Toc7267"/>
      <w:r>
        <w:rPr>
          <w:rFonts w:hint="eastAsia" w:ascii="宋体" w:hAnsi="宋体" w:eastAsia="宋体" w:cs="宋体"/>
          <w:sz w:val="22"/>
          <w:szCs w:val="32"/>
        </w:rPr>
        <w:t>承包人负责照管工程及工程相关的材料、工程设备的起始时间：</w:t>
      </w:r>
      <w:r>
        <w:rPr>
          <w:rFonts w:hint="eastAsia" w:ascii="宋体" w:hAnsi="宋体" w:eastAsia="宋体" w:cs="宋体"/>
          <w:sz w:val="22"/>
          <w:szCs w:val="32"/>
          <w:u w:val="single"/>
        </w:rPr>
        <w:t>执行通用合同条款3.6</w:t>
      </w:r>
      <w:r>
        <w:rPr>
          <w:rFonts w:hint="eastAsia" w:ascii="宋体" w:hAnsi="宋体" w:eastAsia="宋体" w:cs="宋体"/>
          <w:sz w:val="22"/>
          <w:szCs w:val="32"/>
        </w:rPr>
        <w:t>。</w:t>
      </w:r>
      <w:bookmarkEnd w:id="440"/>
      <w:bookmarkEnd w:id="441"/>
      <w:bookmarkEnd w:id="44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43" w:name="_Toc4055264"/>
      <w:bookmarkStart w:id="444" w:name="_Toc4055799"/>
      <w:bookmarkStart w:id="445" w:name="_Toc10275"/>
      <w:r>
        <w:rPr>
          <w:rFonts w:hint="eastAsia" w:ascii="宋体" w:hAnsi="宋体" w:eastAsia="宋体" w:cs="宋体"/>
          <w:sz w:val="22"/>
          <w:szCs w:val="32"/>
        </w:rPr>
        <w:t>3.7 履约担保</w:t>
      </w:r>
      <w:bookmarkEnd w:id="443"/>
      <w:bookmarkEnd w:id="444"/>
      <w:bookmarkEnd w:id="44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46" w:name="_Toc16780"/>
      <w:bookmarkStart w:id="447" w:name="_Toc4055800"/>
      <w:bookmarkStart w:id="448" w:name="_Toc4055265"/>
      <w:r>
        <w:rPr>
          <w:rFonts w:hint="eastAsia" w:ascii="宋体" w:hAnsi="宋体" w:eastAsia="宋体" w:cs="宋体"/>
          <w:sz w:val="22"/>
          <w:szCs w:val="32"/>
        </w:rPr>
        <w:t>承包人是否提供履约担保：</w:t>
      </w:r>
      <w:r>
        <w:rPr>
          <w:rFonts w:hint="eastAsia" w:ascii="宋体" w:hAnsi="宋体" w:eastAsia="宋体" w:cs="宋体"/>
          <w:sz w:val="22"/>
          <w:szCs w:val="32"/>
          <w:u w:val="single"/>
        </w:rPr>
        <w:t>提供</w:t>
      </w:r>
      <w:r>
        <w:rPr>
          <w:rFonts w:hint="eastAsia" w:ascii="宋体" w:hAnsi="宋体" w:eastAsia="宋体" w:cs="宋体"/>
          <w:sz w:val="22"/>
          <w:szCs w:val="32"/>
        </w:rPr>
        <w:t>。</w:t>
      </w:r>
      <w:bookmarkEnd w:id="446"/>
      <w:bookmarkEnd w:id="447"/>
      <w:bookmarkEnd w:id="44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color w:val="auto"/>
          <w:sz w:val="22"/>
          <w:szCs w:val="32"/>
          <w:u w:val="single"/>
        </w:rPr>
      </w:pPr>
      <w:bookmarkStart w:id="449" w:name="_Toc7746"/>
      <w:bookmarkStart w:id="450" w:name="_Toc4055801"/>
      <w:bookmarkStart w:id="451" w:name="_Toc4055266"/>
      <w:r>
        <w:rPr>
          <w:rFonts w:hint="eastAsia" w:ascii="宋体" w:hAnsi="宋体" w:eastAsia="宋体" w:cs="宋体"/>
          <w:sz w:val="22"/>
          <w:szCs w:val="32"/>
        </w:rPr>
        <w:t>承包人提供履约担保的形式、金额及期限的</w:t>
      </w:r>
      <w:r>
        <w:rPr>
          <w:rFonts w:hint="eastAsia" w:ascii="宋体" w:hAnsi="宋体" w:eastAsia="宋体" w:cs="宋体"/>
          <w:color w:val="auto"/>
          <w:sz w:val="22"/>
          <w:szCs w:val="32"/>
        </w:rPr>
        <w:t>：</w:t>
      </w:r>
      <w:r>
        <w:rPr>
          <w:rFonts w:hint="eastAsia" w:ascii="宋体" w:hAnsi="宋体" w:eastAsia="宋体" w:cs="宋体"/>
          <w:color w:val="auto"/>
          <w:sz w:val="22"/>
          <w:szCs w:val="32"/>
          <w:u w:val="single"/>
        </w:rPr>
        <w:t>提供履约担保形式：履约保证金，采用现金</w:t>
      </w:r>
      <w:r>
        <w:rPr>
          <w:rFonts w:hint="eastAsia" w:cs="宋体"/>
          <w:color w:val="auto"/>
          <w:sz w:val="22"/>
          <w:szCs w:val="32"/>
          <w:u w:val="single"/>
          <w:lang w:eastAsia="zh-CN"/>
        </w:rPr>
        <w:t>转账</w:t>
      </w:r>
      <w:r>
        <w:rPr>
          <w:rFonts w:hint="eastAsia" w:ascii="宋体" w:hAnsi="宋体" w:eastAsia="宋体" w:cs="宋体"/>
          <w:color w:val="auto"/>
          <w:sz w:val="22"/>
          <w:szCs w:val="32"/>
          <w:u w:val="single"/>
        </w:rPr>
        <w:t>形式。合同协议书签订前，承包人应向发包人账户支付中标价</w:t>
      </w:r>
      <w:r>
        <w:rPr>
          <w:rFonts w:hint="eastAsia" w:cs="宋体"/>
          <w:color w:val="auto"/>
          <w:sz w:val="22"/>
          <w:szCs w:val="32"/>
          <w:u w:val="single"/>
          <w:lang w:val="en-US" w:eastAsia="zh-CN"/>
        </w:rPr>
        <w:t>8</w:t>
      </w:r>
      <w:r>
        <w:rPr>
          <w:rFonts w:hint="eastAsia" w:ascii="宋体" w:hAnsi="宋体" w:eastAsia="宋体" w:cs="宋体"/>
          <w:color w:val="auto"/>
          <w:sz w:val="22"/>
          <w:szCs w:val="32"/>
          <w:u w:val="single"/>
        </w:rPr>
        <w:t>%金额作为履约保证金。本合同履行期间承包人无违约责任的情况下，待工程竣工验收合格后，发包人30天内无息返还给承包人。</w:t>
      </w:r>
      <w:bookmarkEnd w:id="449"/>
      <w:bookmarkEnd w:id="450"/>
      <w:bookmarkEnd w:id="451"/>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color w:val="auto"/>
          <w:sz w:val="22"/>
          <w:szCs w:val="32"/>
        </w:rPr>
      </w:pPr>
      <w:bookmarkStart w:id="452" w:name="_Toc12419"/>
      <w:bookmarkStart w:id="453" w:name="_Toc4055802"/>
      <w:bookmarkStart w:id="454" w:name="_Toc4055267"/>
      <w:r>
        <w:rPr>
          <w:rFonts w:hint="eastAsia" w:ascii="宋体" w:hAnsi="宋体" w:eastAsia="宋体" w:cs="宋体"/>
          <w:b/>
          <w:bCs/>
          <w:color w:val="auto"/>
          <w:sz w:val="22"/>
          <w:szCs w:val="32"/>
        </w:rPr>
        <w:t>4. 监理人</w:t>
      </w:r>
      <w:bookmarkEnd w:id="452"/>
      <w:bookmarkEnd w:id="453"/>
      <w:bookmarkEnd w:id="45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55" w:name="_Toc4055268"/>
      <w:bookmarkStart w:id="456" w:name="_Toc4055803"/>
      <w:bookmarkStart w:id="457" w:name="_Toc22277"/>
      <w:r>
        <w:rPr>
          <w:rFonts w:hint="eastAsia" w:ascii="宋体" w:hAnsi="宋体" w:eastAsia="宋体" w:cs="宋体"/>
          <w:sz w:val="22"/>
          <w:szCs w:val="32"/>
        </w:rPr>
        <w:t>4.1监理人的一般规定</w:t>
      </w:r>
      <w:bookmarkEnd w:id="455"/>
      <w:bookmarkEnd w:id="456"/>
      <w:bookmarkEnd w:id="45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458" w:name="_Toc2138"/>
      <w:bookmarkStart w:id="459" w:name="_Toc4055804"/>
      <w:bookmarkStart w:id="460" w:name="_Toc4055269"/>
      <w:r>
        <w:rPr>
          <w:rFonts w:hint="eastAsia" w:ascii="宋体" w:hAnsi="宋体" w:eastAsia="宋体" w:cs="宋体"/>
          <w:sz w:val="22"/>
          <w:szCs w:val="32"/>
        </w:rPr>
        <w:t>关于监理人的监理内容：</w:t>
      </w:r>
      <w:r>
        <w:rPr>
          <w:rFonts w:hint="eastAsia" w:cs="宋体"/>
          <w:sz w:val="22"/>
          <w:szCs w:val="32"/>
          <w:u w:val="single"/>
          <w:lang w:val="en-US" w:eastAsia="zh-CN"/>
        </w:rPr>
        <w:t>工程量清单</w:t>
      </w:r>
      <w:r>
        <w:rPr>
          <w:rFonts w:hint="eastAsia" w:ascii="宋体" w:hAnsi="宋体" w:eastAsia="宋体" w:cs="宋体"/>
          <w:sz w:val="22"/>
          <w:szCs w:val="32"/>
          <w:u w:val="single"/>
        </w:rPr>
        <w:t>范围内的工程施工及保修阶段全过程监理。</w:t>
      </w:r>
      <w:bookmarkEnd w:id="458"/>
      <w:bookmarkEnd w:id="459"/>
      <w:bookmarkEnd w:id="46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461" w:name="_Toc4055270"/>
      <w:bookmarkStart w:id="462" w:name="_Toc4055805"/>
      <w:bookmarkStart w:id="463" w:name="_Toc4030"/>
      <w:r>
        <w:rPr>
          <w:rFonts w:hint="eastAsia" w:ascii="宋体" w:hAnsi="宋体" w:eastAsia="宋体" w:cs="宋体"/>
          <w:sz w:val="22"/>
          <w:szCs w:val="32"/>
        </w:rPr>
        <w:t>关于监理人的监理权限：</w:t>
      </w:r>
      <w:r>
        <w:rPr>
          <w:rFonts w:hint="eastAsia" w:ascii="宋体" w:hAnsi="宋体" w:eastAsia="宋体" w:cs="宋体"/>
          <w:sz w:val="22"/>
          <w:szCs w:val="32"/>
          <w:u w:val="single"/>
        </w:rPr>
        <w:t>对工程质量、进度、成本、安全文明施工、环境保护进行监管、资料信息管理、协调各方关系等；涉及到设计变更、合同变更必须事先征得发包人同意后方可办理</w:t>
      </w:r>
      <w:r>
        <w:rPr>
          <w:rFonts w:hint="eastAsia" w:ascii="宋体" w:hAnsi="宋体" w:eastAsia="宋体" w:cs="宋体"/>
          <w:sz w:val="22"/>
          <w:szCs w:val="32"/>
        </w:rPr>
        <w:t>。</w:t>
      </w:r>
      <w:bookmarkEnd w:id="461"/>
      <w:bookmarkEnd w:id="462"/>
      <w:bookmarkEnd w:id="46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464" w:name="_Toc4055271"/>
      <w:bookmarkStart w:id="465" w:name="_Toc18842"/>
      <w:bookmarkStart w:id="466" w:name="_Toc4055806"/>
      <w:r>
        <w:rPr>
          <w:rFonts w:hint="eastAsia" w:ascii="宋体" w:hAnsi="宋体" w:eastAsia="宋体" w:cs="宋体"/>
          <w:sz w:val="22"/>
          <w:szCs w:val="32"/>
        </w:rPr>
        <w:t>关于监理人在施工现场的办公场所、生活场所的提供和费用承担的约定：</w:t>
      </w:r>
      <w:r>
        <w:rPr>
          <w:rFonts w:hint="eastAsia" w:ascii="宋体" w:hAnsi="宋体" w:eastAsia="宋体" w:cs="宋体"/>
          <w:sz w:val="22"/>
          <w:szCs w:val="32"/>
          <w:u w:val="single"/>
        </w:rPr>
        <w:t>发包人不承担</w:t>
      </w:r>
      <w:r>
        <w:rPr>
          <w:rFonts w:hint="eastAsia" w:ascii="宋体" w:hAnsi="宋体" w:eastAsia="宋体" w:cs="宋体"/>
          <w:sz w:val="22"/>
          <w:szCs w:val="32"/>
        </w:rPr>
        <w:t>。</w:t>
      </w:r>
      <w:bookmarkEnd w:id="464"/>
      <w:bookmarkEnd w:id="465"/>
      <w:bookmarkEnd w:id="46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67" w:name="_Toc1374"/>
      <w:bookmarkStart w:id="468" w:name="_Toc4055807"/>
      <w:bookmarkStart w:id="469" w:name="_Toc4055272"/>
      <w:r>
        <w:rPr>
          <w:rFonts w:hint="eastAsia" w:ascii="宋体" w:hAnsi="宋体" w:eastAsia="宋体" w:cs="宋体"/>
          <w:sz w:val="22"/>
          <w:szCs w:val="32"/>
        </w:rPr>
        <w:t>4.2 监理人员</w:t>
      </w:r>
      <w:bookmarkEnd w:id="467"/>
      <w:bookmarkEnd w:id="468"/>
      <w:bookmarkEnd w:id="46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70" w:name="_Toc4055808"/>
      <w:bookmarkStart w:id="471" w:name="_Toc4055273"/>
      <w:bookmarkStart w:id="472" w:name="_Toc18870"/>
      <w:r>
        <w:rPr>
          <w:rFonts w:hint="eastAsia" w:ascii="宋体" w:hAnsi="宋体" w:eastAsia="宋体" w:cs="宋体"/>
          <w:sz w:val="22"/>
          <w:szCs w:val="32"/>
        </w:rPr>
        <w:t>总监理工程师：</w:t>
      </w:r>
      <w:bookmarkEnd w:id="470"/>
      <w:bookmarkEnd w:id="471"/>
      <w:bookmarkEnd w:id="47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73" w:name="_Toc4055809"/>
      <w:bookmarkStart w:id="474" w:name="_Toc15026"/>
      <w:bookmarkStart w:id="475" w:name="_Toc4055274"/>
      <w:r>
        <w:rPr>
          <w:rFonts w:hint="eastAsia" w:ascii="宋体" w:hAnsi="宋体" w:eastAsia="宋体" w:cs="宋体"/>
          <w:sz w:val="22"/>
          <w:szCs w:val="32"/>
        </w:rPr>
        <w:t>姓名：</w:t>
      </w:r>
      <w:r>
        <w:rPr>
          <w:rFonts w:hint="eastAsia" w:ascii="宋体" w:hAnsi="宋体" w:eastAsia="宋体" w:cs="宋体"/>
          <w:sz w:val="22"/>
          <w:szCs w:val="32"/>
          <w:u w:val="single"/>
        </w:rPr>
        <w:t>    </w:t>
      </w:r>
      <w:r>
        <w:rPr>
          <w:rFonts w:hint="eastAsia" w:ascii="宋体" w:hAnsi="宋体" w:eastAsia="宋体" w:cs="宋体"/>
          <w:sz w:val="22"/>
          <w:szCs w:val="32"/>
        </w:rPr>
        <w:t>；</w:t>
      </w:r>
      <w:bookmarkEnd w:id="473"/>
      <w:bookmarkEnd w:id="474"/>
      <w:bookmarkEnd w:id="47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76" w:name="_Toc32487"/>
      <w:bookmarkStart w:id="477" w:name="_Toc4055810"/>
      <w:bookmarkStart w:id="478" w:name="_Toc4055275"/>
      <w:r>
        <w:rPr>
          <w:rFonts w:hint="eastAsia" w:ascii="宋体" w:hAnsi="宋体" w:eastAsia="宋体" w:cs="宋体"/>
          <w:sz w:val="22"/>
          <w:szCs w:val="32"/>
        </w:rPr>
        <w:t>职务：</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476"/>
      <w:bookmarkEnd w:id="477"/>
      <w:bookmarkEnd w:id="47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79" w:name="_Toc4055811"/>
      <w:bookmarkStart w:id="480" w:name="_Toc4055276"/>
      <w:bookmarkStart w:id="481" w:name="_Toc14653"/>
      <w:r>
        <w:rPr>
          <w:rFonts w:hint="eastAsia" w:ascii="宋体" w:hAnsi="宋体" w:eastAsia="宋体" w:cs="宋体"/>
          <w:sz w:val="22"/>
          <w:szCs w:val="32"/>
        </w:rPr>
        <w:t>监理工程师执业资格证书号：</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479"/>
      <w:bookmarkEnd w:id="480"/>
      <w:bookmarkEnd w:id="48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82" w:name="_Toc4055812"/>
      <w:bookmarkStart w:id="483" w:name="_Toc4055277"/>
      <w:bookmarkStart w:id="484" w:name="_Toc20486"/>
      <w:r>
        <w:rPr>
          <w:rFonts w:hint="eastAsia" w:ascii="宋体" w:hAnsi="宋体" w:eastAsia="宋体" w:cs="宋体"/>
          <w:sz w:val="22"/>
          <w:szCs w:val="32"/>
        </w:rPr>
        <w:t>联系电话：</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482"/>
      <w:bookmarkEnd w:id="483"/>
      <w:bookmarkEnd w:id="48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85" w:name="_Toc27194"/>
      <w:bookmarkStart w:id="486" w:name="_Toc4055278"/>
      <w:bookmarkStart w:id="487" w:name="_Toc4055813"/>
      <w:r>
        <w:rPr>
          <w:rFonts w:hint="eastAsia" w:ascii="宋体" w:hAnsi="宋体" w:eastAsia="宋体" w:cs="宋体"/>
          <w:sz w:val="22"/>
          <w:szCs w:val="32"/>
        </w:rPr>
        <w:t>电子信箱：</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485"/>
      <w:bookmarkEnd w:id="486"/>
      <w:bookmarkEnd w:id="48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88" w:name="_Toc4055814"/>
      <w:bookmarkStart w:id="489" w:name="_Toc12324"/>
      <w:bookmarkStart w:id="490" w:name="_Toc4055279"/>
      <w:r>
        <w:rPr>
          <w:rFonts w:hint="eastAsia" w:ascii="宋体" w:hAnsi="宋体" w:eastAsia="宋体" w:cs="宋体"/>
          <w:sz w:val="22"/>
          <w:szCs w:val="32"/>
        </w:rPr>
        <w:t>通信地址：</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488"/>
      <w:bookmarkEnd w:id="489"/>
      <w:bookmarkEnd w:id="49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91" w:name="_Toc4055280"/>
      <w:bookmarkStart w:id="492" w:name="_Toc20551"/>
      <w:bookmarkStart w:id="493" w:name="_Toc4055815"/>
      <w:r>
        <w:rPr>
          <w:rFonts w:hint="eastAsia" w:ascii="宋体" w:hAnsi="宋体" w:eastAsia="宋体" w:cs="宋体"/>
          <w:sz w:val="22"/>
          <w:szCs w:val="32"/>
        </w:rPr>
        <w:t>关于监理人的其他约定：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491"/>
      <w:bookmarkEnd w:id="492"/>
      <w:bookmarkEnd w:id="49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94" w:name="_Toc4055281"/>
      <w:bookmarkStart w:id="495" w:name="_Toc19435"/>
      <w:bookmarkStart w:id="496" w:name="_Toc4055816"/>
      <w:r>
        <w:rPr>
          <w:rFonts w:hint="eastAsia" w:ascii="宋体" w:hAnsi="宋体" w:eastAsia="宋体" w:cs="宋体"/>
          <w:sz w:val="22"/>
          <w:szCs w:val="32"/>
        </w:rPr>
        <w:t>4.4 商定或确定</w:t>
      </w:r>
      <w:bookmarkEnd w:id="494"/>
      <w:bookmarkEnd w:id="495"/>
      <w:bookmarkEnd w:id="49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497" w:name="_Toc4055282"/>
      <w:bookmarkStart w:id="498" w:name="_Toc28613"/>
      <w:bookmarkStart w:id="499" w:name="_Toc4055817"/>
      <w:r>
        <w:rPr>
          <w:rFonts w:hint="eastAsia" w:ascii="宋体" w:hAnsi="宋体" w:eastAsia="宋体" w:cs="宋体"/>
          <w:sz w:val="22"/>
          <w:szCs w:val="32"/>
        </w:rPr>
        <w:t>在发包人和承包人不能通过协商达成一致意见时，发包人授权监理人对以下事项进行确定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497"/>
      <w:bookmarkEnd w:id="498"/>
      <w:bookmarkEnd w:id="499"/>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500" w:name="_Toc32533"/>
      <w:bookmarkStart w:id="501" w:name="_Toc4055818"/>
      <w:bookmarkStart w:id="502" w:name="_Toc4055283"/>
      <w:r>
        <w:rPr>
          <w:rFonts w:hint="eastAsia" w:ascii="宋体" w:hAnsi="宋体" w:eastAsia="宋体" w:cs="宋体"/>
          <w:b/>
          <w:bCs/>
          <w:sz w:val="22"/>
          <w:szCs w:val="32"/>
        </w:rPr>
        <w:t>5. 工程质量</w:t>
      </w:r>
      <w:bookmarkEnd w:id="500"/>
      <w:bookmarkEnd w:id="501"/>
      <w:bookmarkEnd w:id="50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03" w:name="_Toc4055819"/>
      <w:bookmarkStart w:id="504" w:name="_Toc25340"/>
      <w:bookmarkStart w:id="505" w:name="_Toc4055284"/>
      <w:r>
        <w:rPr>
          <w:rFonts w:hint="eastAsia" w:ascii="宋体" w:hAnsi="宋体" w:eastAsia="宋体" w:cs="宋体"/>
          <w:sz w:val="22"/>
          <w:szCs w:val="32"/>
        </w:rPr>
        <w:t>5.1 质量要求</w:t>
      </w:r>
      <w:bookmarkEnd w:id="503"/>
      <w:bookmarkEnd w:id="504"/>
      <w:bookmarkEnd w:id="50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06" w:name="_Toc14964"/>
      <w:bookmarkStart w:id="507" w:name="_Toc4055285"/>
      <w:bookmarkStart w:id="508" w:name="_Toc4055820"/>
      <w:r>
        <w:rPr>
          <w:rFonts w:hint="eastAsia" w:ascii="宋体" w:hAnsi="宋体" w:eastAsia="宋体" w:cs="宋体"/>
          <w:sz w:val="22"/>
          <w:szCs w:val="32"/>
        </w:rPr>
        <w:t>5.1.1 特殊质量标准和要求：</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506"/>
      <w:bookmarkEnd w:id="507"/>
      <w:bookmarkEnd w:id="50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09" w:name="_Toc16503"/>
      <w:bookmarkStart w:id="510" w:name="_Toc4055821"/>
      <w:bookmarkStart w:id="511" w:name="_Toc4055286"/>
      <w:r>
        <w:rPr>
          <w:rFonts w:hint="eastAsia" w:ascii="宋体" w:hAnsi="宋体" w:eastAsia="宋体" w:cs="宋体"/>
          <w:sz w:val="22"/>
          <w:szCs w:val="32"/>
        </w:rPr>
        <w:t>关于工程奖项的约定：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509"/>
      <w:bookmarkEnd w:id="510"/>
      <w:bookmarkEnd w:id="51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12" w:name="_Toc1888"/>
      <w:bookmarkStart w:id="513" w:name="_Toc4055287"/>
      <w:bookmarkStart w:id="514" w:name="_Toc4055822"/>
      <w:r>
        <w:rPr>
          <w:rFonts w:hint="eastAsia" w:ascii="宋体" w:hAnsi="宋体" w:eastAsia="宋体" w:cs="宋体"/>
          <w:sz w:val="22"/>
          <w:szCs w:val="32"/>
        </w:rPr>
        <w:t>5.3 隐蔽工程检查</w:t>
      </w:r>
      <w:bookmarkEnd w:id="512"/>
      <w:bookmarkEnd w:id="513"/>
      <w:bookmarkEnd w:id="51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15" w:name="_Toc4055823"/>
      <w:bookmarkStart w:id="516" w:name="_Toc27964"/>
      <w:bookmarkStart w:id="517" w:name="_Toc4055288"/>
      <w:r>
        <w:rPr>
          <w:rFonts w:hint="eastAsia" w:ascii="宋体" w:hAnsi="宋体" w:eastAsia="宋体" w:cs="宋体"/>
          <w:sz w:val="22"/>
          <w:szCs w:val="32"/>
        </w:rPr>
        <w:t>5.3.2承包人提前通知监理人隐蔽工程检查的期限的约定：</w:t>
      </w:r>
      <w:r>
        <w:rPr>
          <w:rFonts w:hint="eastAsia" w:ascii="宋体" w:hAnsi="宋体" w:eastAsia="宋体" w:cs="宋体"/>
          <w:sz w:val="22"/>
          <w:szCs w:val="32"/>
          <w:u w:val="single"/>
        </w:rPr>
        <w:t>执行通用合同条款5.3.2</w:t>
      </w:r>
      <w:bookmarkEnd w:id="515"/>
      <w:bookmarkEnd w:id="516"/>
      <w:bookmarkEnd w:id="51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18" w:name="_Toc31633"/>
      <w:bookmarkStart w:id="519" w:name="_Toc4055824"/>
      <w:bookmarkStart w:id="520" w:name="_Toc4055289"/>
      <w:r>
        <w:rPr>
          <w:rFonts w:hint="eastAsia" w:ascii="宋体" w:hAnsi="宋体" w:eastAsia="宋体" w:cs="宋体"/>
          <w:sz w:val="22"/>
          <w:szCs w:val="32"/>
        </w:rPr>
        <w:t>监理人不能按时进行检查时，应提前</w:t>
      </w:r>
      <w:r>
        <w:rPr>
          <w:rFonts w:hint="eastAsia" w:ascii="宋体" w:hAnsi="宋体" w:eastAsia="宋体" w:cs="宋体"/>
          <w:sz w:val="22"/>
          <w:szCs w:val="32"/>
          <w:u w:val="single"/>
        </w:rPr>
        <w:t>24</w:t>
      </w:r>
      <w:r>
        <w:rPr>
          <w:rFonts w:hint="eastAsia" w:ascii="宋体" w:hAnsi="宋体" w:eastAsia="宋体" w:cs="宋体"/>
          <w:sz w:val="22"/>
          <w:szCs w:val="32"/>
        </w:rPr>
        <w:t>小时提交书面延期要求。</w:t>
      </w:r>
      <w:bookmarkEnd w:id="518"/>
      <w:bookmarkEnd w:id="519"/>
      <w:bookmarkEnd w:id="52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21" w:name="_Toc4055825"/>
      <w:bookmarkStart w:id="522" w:name="_Toc459"/>
      <w:bookmarkStart w:id="523" w:name="_Toc4055290"/>
      <w:r>
        <w:rPr>
          <w:rFonts w:hint="eastAsia" w:ascii="宋体" w:hAnsi="宋体" w:eastAsia="宋体" w:cs="宋体"/>
          <w:sz w:val="22"/>
          <w:szCs w:val="32"/>
        </w:rPr>
        <w:t>关于延期最长不得超过：</w:t>
      </w:r>
      <w:r>
        <w:rPr>
          <w:rFonts w:hint="eastAsia" w:ascii="宋体" w:hAnsi="宋体" w:eastAsia="宋体" w:cs="宋体"/>
          <w:sz w:val="22"/>
          <w:szCs w:val="32"/>
          <w:u w:val="single"/>
        </w:rPr>
        <w:t>48</w:t>
      </w:r>
      <w:r>
        <w:rPr>
          <w:rFonts w:hint="eastAsia" w:ascii="宋体" w:hAnsi="宋体" w:eastAsia="宋体" w:cs="宋体"/>
          <w:sz w:val="22"/>
          <w:szCs w:val="32"/>
        </w:rPr>
        <w:t>小时。</w:t>
      </w:r>
      <w:bookmarkEnd w:id="521"/>
      <w:bookmarkEnd w:id="522"/>
      <w:bookmarkEnd w:id="523"/>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524" w:name="_Toc4055826"/>
      <w:bookmarkStart w:id="525" w:name="_Toc4055291"/>
      <w:bookmarkStart w:id="526" w:name="_Toc18591"/>
      <w:r>
        <w:rPr>
          <w:rFonts w:hint="eastAsia" w:ascii="宋体" w:hAnsi="宋体" w:eastAsia="宋体" w:cs="宋体"/>
          <w:b/>
          <w:bCs/>
          <w:sz w:val="22"/>
          <w:szCs w:val="32"/>
        </w:rPr>
        <w:t>6. 安全文明施工与环境保护</w:t>
      </w:r>
      <w:bookmarkEnd w:id="524"/>
      <w:bookmarkEnd w:id="525"/>
      <w:bookmarkEnd w:id="52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27" w:name="_Toc4055292"/>
      <w:bookmarkStart w:id="528" w:name="_Toc24585"/>
      <w:bookmarkStart w:id="529" w:name="_Toc4055827"/>
      <w:r>
        <w:rPr>
          <w:rFonts w:hint="eastAsia" w:ascii="宋体" w:hAnsi="宋体" w:eastAsia="宋体" w:cs="宋体"/>
          <w:sz w:val="22"/>
          <w:szCs w:val="32"/>
        </w:rPr>
        <w:t>6.1安全文明施工</w:t>
      </w:r>
      <w:bookmarkEnd w:id="527"/>
      <w:bookmarkEnd w:id="528"/>
      <w:bookmarkEnd w:id="52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r>
        <w:rPr>
          <w:rFonts w:hint="eastAsia" w:ascii="宋体" w:hAnsi="宋体" w:eastAsia="宋体" w:cs="宋体"/>
          <w:sz w:val="22"/>
          <w:szCs w:val="32"/>
        </w:rPr>
        <w:t>6.1.1项目安全生产的达标目标及相应事项的约定：</w:t>
      </w:r>
      <w:r>
        <w:rPr>
          <w:rFonts w:hint="eastAsia" w:ascii="宋体" w:hAnsi="宋体" w:eastAsia="宋体" w:cs="宋体"/>
          <w:sz w:val="22"/>
          <w:szCs w:val="32"/>
          <w:u w:val="single"/>
        </w:rPr>
        <w:t>在施工过程中， 承包人应遵守《建设工程安全生产管理条例》及其他工程建设安全生产有关管理规定，严格按现行安全标准组织施工，切实落实提交的安全施工规划、方案、预案和措施，执行发包人及监理人关于安全生产的要求和指示，并随时接受行业安全检查人员依法实施的监督检查，采取必要的安全防护措施，消除安全隐患。</w:t>
      </w:r>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30" w:name="_Toc18813"/>
      <w:bookmarkStart w:id="531" w:name="_Toc4055829"/>
      <w:bookmarkStart w:id="532" w:name="_Toc4055294"/>
      <w:r>
        <w:rPr>
          <w:rFonts w:hint="eastAsia" w:ascii="宋体" w:hAnsi="宋体" w:eastAsia="宋体" w:cs="宋体"/>
          <w:sz w:val="22"/>
          <w:szCs w:val="32"/>
        </w:rPr>
        <w:t>6.1.4 关于治安保卫的特别约定：</w:t>
      </w:r>
      <w:r>
        <w:rPr>
          <w:rFonts w:hint="eastAsia" w:ascii="宋体" w:hAnsi="宋体" w:eastAsia="宋体" w:cs="宋体"/>
          <w:sz w:val="22"/>
          <w:szCs w:val="32"/>
          <w:u w:val="single"/>
        </w:rPr>
        <w:t>由承包人负责</w:t>
      </w:r>
      <w:r>
        <w:rPr>
          <w:rFonts w:hint="eastAsia" w:ascii="宋体" w:hAnsi="宋体" w:eastAsia="宋体" w:cs="宋体"/>
          <w:sz w:val="22"/>
          <w:szCs w:val="32"/>
        </w:rPr>
        <w:t>。</w:t>
      </w:r>
      <w:bookmarkEnd w:id="530"/>
      <w:bookmarkEnd w:id="531"/>
      <w:bookmarkEnd w:id="53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33" w:name="_Toc4055295"/>
      <w:bookmarkStart w:id="534" w:name="_Toc4055830"/>
      <w:bookmarkStart w:id="535" w:name="_Toc30388"/>
      <w:r>
        <w:rPr>
          <w:rFonts w:hint="eastAsia" w:ascii="宋体" w:hAnsi="宋体" w:eastAsia="宋体" w:cs="宋体"/>
          <w:sz w:val="22"/>
          <w:szCs w:val="32"/>
        </w:rPr>
        <w:t>关于编制施工场地治安管理计划的约定：</w:t>
      </w:r>
      <w:r>
        <w:rPr>
          <w:rFonts w:hint="eastAsia" w:ascii="宋体" w:hAnsi="宋体" w:eastAsia="宋体" w:cs="宋体"/>
          <w:sz w:val="22"/>
          <w:szCs w:val="32"/>
          <w:u w:val="single"/>
        </w:rPr>
        <w:t>由承包人在开工前提供施工场地治安管理计划，并制定应对突发治安事件的紧急预案</w:t>
      </w:r>
      <w:r>
        <w:rPr>
          <w:rFonts w:hint="eastAsia" w:ascii="宋体" w:hAnsi="宋体" w:eastAsia="宋体" w:cs="宋体"/>
          <w:sz w:val="22"/>
          <w:szCs w:val="32"/>
        </w:rPr>
        <w:t>。</w:t>
      </w:r>
      <w:bookmarkEnd w:id="533"/>
      <w:bookmarkEnd w:id="534"/>
      <w:bookmarkEnd w:id="53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36" w:name="_Toc142"/>
      <w:bookmarkStart w:id="537" w:name="_Toc4055296"/>
      <w:bookmarkStart w:id="538" w:name="_Toc4055831"/>
      <w:r>
        <w:rPr>
          <w:rFonts w:hint="eastAsia" w:ascii="宋体" w:hAnsi="宋体" w:eastAsia="宋体" w:cs="宋体"/>
          <w:sz w:val="22"/>
          <w:szCs w:val="32"/>
        </w:rPr>
        <w:t>6.1.5 文明施工</w:t>
      </w:r>
      <w:bookmarkEnd w:id="536"/>
      <w:bookmarkEnd w:id="537"/>
      <w:bookmarkEnd w:id="53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39" w:name="_Toc4055297"/>
      <w:bookmarkStart w:id="540" w:name="_Toc7216"/>
      <w:bookmarkStart w:id="541" w:name="_Toc4055832"/>
      <w:r>
        <w:rPr>
          <w:rFonts w:hint="eastAsia" w:ascii="宋体" w:hAnsi="宋体" w:eastAsia="宋体" w:cs="宋体"/>
          <w:sz w:val="22"/>
          <w:szCs w:val="32"/>
        </w:rPr>
        <w:t>合同当事人对文明施工的其他要求：</w:t>
      </w:r>
      <w:r>
        <w:rPr>
          <w:rFonts w:hint="eastAsia" w:ascii="宋体" w:hAnsi="宋体" w:eastAsia="宋体" w:cs="宋体"/>
          <w:sz w:val="22"/>
          <w:szCs w:val="32"/>
          <w:u w:val="single"/>
        </w:rPr>
        <w:t>发包人要求承包人达到南阳市安全文明标准化工地要求七个百分之百(现场围挡封闭100%、现场湿作业法100%、厂区道路硬化100%、渣土物料覆盖100%、在建楼体封闭100%、出入车辆清洗100%、远程监控安装100%)”，如施工现场未达到安全文明标准化工地要求，承包人须接受相关部门及发包人处罚。</w:t>
      </w:r>
      <w:bookmarkEnd w:id="539"/>
      <w:bookmarkEnd w:id="540"/>
      <w:bookmarkEnd w:id="54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42" w:name="_Toc4055298"/>
      <w:bookmarkStart w:id="543" w:name="_Toc4055833"/>
      <w:bookmarkStart w:id="544" w:name="_Toc9308"/>
      <w:r>
        <w:rPr>
          <w:rFonts w:hint="eastAsia" w:ascii="宋体" w:hAnsi="宋体" w:eastAsia="宋体" w:cs="宋体"/>
          <w:sz w:val="22"/>
          <w:szCs w:val="32"/>
        </w:rPr>
        <w:t>6.1.6 关于安全文明施工费支付比例和支付期限的约定：</w:t>
      </w:r>
      <w:r>
        <w:rPr>
          <w:rFonts w:hint="eastAsia" w:ascii="宋体" w:hAnsi="宋体" w:eastAsia="宋体" w:cs="宋体"/>
          <w:sz w:val="22"/>
          <w:szCs w:val="32"/>
          <w:u w:val="single"/>
        </w:rPr>
        <w:t>随进度款同比例支付。</w:t>
      </w:r>
      <w:bookmarkEnd w:id="542"/>
      <w:bookmarkEnd w:id="543"/>
      <w:bookmarkEnd w:id="544"/>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545" w:name="_Toc14432"/>
      <w:bookmarkStart w:id="546" w:name="_Toc4055834"/>
      <w:bookmarkStart w:id="547" w:name="_Toc4055299"/>
      <w:r>
        <w:rPr>
          <w:rFonts w:hint="eastAsia" w:ascii="宋体" w:hAnsi="宋体" w:eastAsia="宋体" w:cs="宋体"/>
          <w:b/>
          <w:bCs/>
          <w:sz w:val="22"/>
          <w:szCs w:val="32"/>
        </w:rPr>
        <w:t>7. 工期和进度</w:t>
      </w:r>
      <w:bookmarkEnd w:id="545"/>
      <w:bookmarkEnd w:id="546"/>
      <w:bookmarkEnd w:id="54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48" w:name="_Toc4055835"/>
      <w:bookmarkStart w:id="549" w:name="_Toc26516"/>
      <w:bookmarkStart w:id="550" w:name="_Toc4055300"/>
      <w:r>
        <w:rPr>
          <w:rFonts w:hint="eastAsia" w:ascii="宋体" w:hAnsi="宋体" w:eastAsia="宋体" w:cs="宋体"/>
          <w:sz w:val="22"/>
          <w:szCs w:val="32"/>
        </w:rPr>
        <w:t>7.1 施工组织设计</w:t>
      </w:r>
      <w:bookmarkEnd w:id="548"/>
      <w:bookmarkEnd w:id="549"/>
      <w:bookmarkEnd w:id="55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51" w:name="_Toc4055836"/>
      <w:bookmarkStart w:id="552" w:name="_Toc14890"/>
      <w:bookmarkStart w:id="553" w:name="_Toc4055301"/>
      <w:r>
        <w:rPr>
          <w:rFonts w:hint="eastAsia" w:ascii="宋体" w:hAnsi="宋体" w:eastAsia="宋体" w:cs="宋体"/>
          <w:sz w:val="22"/>
          <w:szCs w:val="32"/>
        </w:rPr>
        <w:t>7.1.1 合同当事人约定的施工组织设计应包括的其他内容：</w:t>
      </w:r>
      <w:r>
        <w:rPr>
          <w:rFonts w:hint="eastAsia" w:ascii="宋体" w:hAnsi="宋体" w:eastAsia="宋体" w:cs="宋体"/>
          <w:sz w:val="22"/>
          <w:szCs w:val="32"/>
          <w:u w:val="single"/>
        </w:rPr>
        <w:t>执行通用合同条款7.1.1。</w:t>
      </w:r>
      <w:bookmarkEnd w:id="551"/>
      <w:bookmarkEnd w:id="552"/>
      <w:bookmarkEnd w:id="55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54" w:name="_Toc4055837"/>
      <w:bookmarkStart w:id="555" w:name="_Toc4055302"/>
      <w:bookmarkStart w:id="556" w:name="_Toc31752"/>
      <w:r>
        <w:rPr>
          <w:rFonts w:hint="eastAsia" w:ascii="宋体" w:hAnsi="宋体" w:eastAsia="宋体" w:cs="宋体"/>
          <w:sz w:val="22"/>
          <w:szCs w:val="32"/>
        </w:rPr>
        <w:t>7.1.2施工组织设计的提交和修改</w:t>
      </w:r>
      <w:bookmarkEnd w:id="554"/>
      <w:bookmarkEnd w:id="555"/>
      <w:bookmarkEnd w:id="55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57" w:name="_Toc15109"/>
      <w:bookmarkStart w:id="558" w:name="_Toc4055303"/>
      <w:bookmarkStart w:id="559" w:name="_Toc4055838"/>
      <w:r>
        <w:rPr>
          <w:rFonts w:hint="eastAsia" w:ascii="宋体" w:hAnsi="宋体" w:eastAsia="宋体" w:cs="宋体"/>
          <w:sz w:val="22"/>
          <w:szCs w:val="32"/>
        </w:rPr>
        <w:t>承包人提交详细施工组织设计的期限的约定：</w:t>
      </w:r>
      <w:r>
        <w:rPr>
          <w:rFonts w:hint="eastAsia" w:ascii="宋体" w:hAnsi="宋体" w:eastAsia="宋体" w:cs="宋体"/>
          <w:sz w:val="22"/>
          <w:szCs w:val="32"/>
          <w:u w:val="single"/>
        </w:rPr>
        <w:t>执行通用合同条款7.1.2</w:t>
      </w:r>
      <w:r>
        <w:rPr>
          <w:rFonts w:hint="eastAsia" w:ascii="宋体" w:hAnsi="宋体" w:eastAsia="宋体" w:cs="宋体"/>
          <w:sz w:val="22"/>
          <w:szCs w:val="32"/>
        </w:rPr>
        <w:t>。</w:t>
      </w:r>
      <w:bookmarkEnd w:id="557"/>
      <w:bookmarkEnd w:id="558"/>
      <w:bookmarkEnd w:id="55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60" w:name="_Toc7160"/>
      <w:bookmarkStart w:id="561" w:name="_Toc4055304"/>
      <w:bookmarkStart w:id="562" w:name="_Toc4055839"/>
      <w:r>
        <w:rPr>
          <w:rFonts w:hint="eastAsia" w:ascii="宋体" w:hAnsi="宋体" w:eastAsia="宋体" w:cs="宋体"/>
          <w:sz w:val="22"/>
          <w:szCs w:val="32"/>
        </w:rPr>
        <w:t>发包人和监理人在收到详细的施工组织设计后确认或提出修改意见的期限：</w:t>
      </w:r>
      <w:r>
        <w:rPr>
          <w:rFonts w:hint="eastAsia" w:ascii="宋体" w:hAnsi="宋体" w:eastAsia="宋体" w:cs="宋体"/>
          <w:sz w:val="22"/>
          <w:szCs w:val="32"/>
          <w:u w:val="single"/>
        </w:rPr>
        <w:t>执行通用合同条款7.1.2。</w:t>
      </w:r>
      <w:bookmarkEnd w:id="560"/>
      <w:bookmarkEnd w:id="561"/>
      <w:bookmarkEnd w:id="56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63" w:name="_Toc23631"/>
      <w:bookmarkStart w:id="564" w:name="_Toc4055840"/>
      <w:bookmarkStart w:id="565" w:name="_Toc4055305"/>
      <w:r>
        <w:rPr>
          <w:rFonts w:hint="eastAsia" w:ascii="宋体" w:hAnsi="宋体" w:eastAsia="宋体" w:cs="宋体"/>
          <w:sz w:val="22"/>
          <w:szCs w:val="32"/>
        </w:rPr>
        <w:t>7.2 施工进度计划</w:t>
      </w:r>
      <w:bookmarkEnd w:id="563"/>
      <w:bookmarkEnd w:id="564"/>
      <w:bookmarkEnd w:id="56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66" w:name="_Toc4055841"/>
      <w:bookmarkStart w:id="567" w:name="_Toc31464"/>
      <w:bookmarkStart w:id="568" w:name="_Toc4055306"/>
      <w:r>
        <w:rPr>
          <w:rFonts w:hint="eastAsia" w:ascii="宋体" w:hAnsi="宋体" w:eastAsia="宋体" w:cs="宋体"/>
          <w:sz w:val="22"/>
          <w:szCs w:val="32"/>
        </w:rPr>
        <w:t>7.2.2 施工进度计划的修订</w:t>
      </w:r>
      <w:bookmarkEnd w:id="566"/>
      <w:bookmarkEnd w:id="567"/>
      <w:bookmarkEnd w:id="56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69" w:name="_Toc4055307"/>
      <w:bookmarkStart w:id="570" w:name="_Toc9395"/>
      <w:bookmarkStart w:id="571" w:name="_Toc4055842"/>
      <w:r>
        <w:rPr>
          <w:rFonts w:hint="eastAsia" w:ascii="宋体" w:hAnsi="宋体" w:eastAsia="宋体" w:cs="宋体"/>
          <w:sz w:val="22"/>
          <w:szCs w:val="32"/>
        </w:rPr>
        <w:t>发包人和监理人在收到修订的施工进度计划后确认或提出修改意见的期限：</w:t>
      </w:r>
      <w:r>
        <w:rPr>
          <w:rFonts w:hint="eastAsia" w:ascii="宋体" w:hAnsi="宋体" w:eastAsia="宋体" w:cs="宋体"/>
          <w:sz w:val="22"/>
          <w:szCs w:val="32"/>
          <w:u w:val="single"/>
        </w:rPr>
        <w:t>执行通用合同条款7.2.2。</w:t>
      </w:r>
      <w:bookmarkEnd w:id="569"/>
      <w:bookmarkEnd w:id="570"/>
      <w:bookmarkEnd w:id="57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72" w:name="_Toc4055308"/>
      <w:bookmarkStart w:id="573" w:name="_Toc4055843"/>
      <w:bookmarkStart w:id="574" w:name="_Toc26947"/>
      <w:r>
        <w:rPr>
          <w:rFonts w:hint="eastAsia" w:ascii="宋体" w:hAnsi="宋体" w:eastAsia="宋体" w:cs="宋体"/>
          <w:sz w:val="22"/>
          <w:szCs w:val="32"/>
        </w:rPr>
        <w:t>7.3 开工</w:t>
      </w:r>
      <w:bookmarkEnd w:id="572"/>
      <w:bookmarkEnd w:id="573"/>
      <w:bookmarkEnd w:id="57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75" w:name="_Toc4055309"/>
      <w:bookmarkStart w:id="576" w:name="_Toc7598"/>
      <w:bookmarkStart w:id="577" w:name="_Toc4055844"/>
      <w:r>
        <w:rPr>
          <w:rFonts w:hint="eastAsia" w:ascii="宋体" w:hAnsi="宋体" w:eastAsia="宋体" w:cs="宋体"/>
          <w:sz w:val="22"/>
          <w:szCs w:val="32"/>
        </w:rPr>
        <w:t>7.3.1 开工准备</w:t>
      </w:r>
      <w:bookmarkEnd w:id="575"/>
      <w:bookmarkEnd w:id="576"/>
      <w:bookmarkEnd w:id="57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78" w:name="_Toc4055310"/>
      <w:bookmarkStart w:id="579" w:name="_Toc4055845"/>
      <w:bookmarkStart w:id="580" w:name="_Toc25160"/>
      <w:r>
        <w:rPr>
          <w:rFonts w:hint="eastAsia" w:ascii="宋体" w:hAnsi="宋体" w:eastAsia="宋体" w:cs="宋体"/>
          <w:sz w:val="22"/>
          <w:szCs w:val="32"/>
        </w:rPr>
        <w:t>关于承包人提交工程开工报审表的期限：</w:t>
      </w:r>
      <w:r>
        <w:rPr>
          <w:rFonts w:hint="eastAsia" w:ascii="宋体" w:hAnsi="宋体" w:eastAsia="宋体" w:cs="宋体"/>
          <w:sz w:val="22"/>
          <w:szCs w:val="32"/>
          <w:u w:val="single"/>
        </w:rPr>
        <w:t>开工前7天</w:t>
      </w:r>
      <w:r>
        <w:rPr>
          <w:rFonts w:hint="eastAsia" w:ascii="宋体" w:hAnsi="宋体" w:eastAsia="宋体" w:cs="宋体"/>
          <w:sz w:val="22"/>
          <w:szCs w:val="32"/>
        </w:rPr>
        <w:t>。</w:t>
      </w:r>
      <w:bookmarkEnd w:id="578"/>
      <w:bookmarkEnd w:id="579"/>
      <w:bookmarkEnd w:id="58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81" w:name="_Toc4055846"/>
      <w:bookmarkStart w:id="582" w:name="_Toc4055311"/>
      <w:bookmarkStart w:id="583" w:name="_Toc30297"/>
      <w:r>
        <w:rPr>
          <w:rFonts w:hint="eastAsia" w:ascii="宋体" w:hAnsi="宋体" w:eastAsia="宋体" w:cs="宋体"/>
          <w:sz w:val="22"/>
          <w:szCs w:val="32"/>
        </w:rPr>
        <w:t>关于发包人应完成的其他开工准备工作及期限：</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581"/>
      <w:bookmarkEnd w:id="582"/>
      <w:bookmarkEnd w:id="58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84" w:name="_Toc4055312"/>
      <w:bookmarkStart w:id="585" w:name="_Toc4055847"/>
      <w:bookmarkStart w:id="586" w:name="_Toc15929"/>
      <w:r>
        <w:rPr>
          <w:rFonts w:hint="eastAsia" w:ascii="宋体" w:hAnsi="宋体" w:eastAsia="宋体" w:cs="宋体"/>
          <w:sz w:val="22"/>
          <w:szCs w:val="32"/>
        </w:rPr>
        <w:t>关于承包人应完成的其他开工准备工作及期限：</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584"/>
      <w:bookmarkEnd w:id="585"/>
      <w:bookmarkEnd w:id="58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87" w:name="_Toc4055313"/>
      <w:bookmarkStart w:id="588" w:name="_Toc7503"/>
      <w:bookmarkStart w:id="589" w:name="_Toc4055848"/>
      <w:r>
        <w:rPr>
          <w:rFonts w:hint="eastAsia" w:ascii="宋体" w:hAnsi="宋体" w:eastAsia="宋体" w:cs="宋体"/>
          <w:sz w:val="22"/>
          <w:szCs w:val="32"/>
        </w:rPr>
        <w:t>7.3.2开工通知</w:t>
      </w:r>
      <w:bookmarkEnd w:id="587"/>
      <w:bookmarkEnd w:id="588"/>
      <w:bookmarkEnd w:id="58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90" w:name="_Toc4055849"/>
      <w:bookmarkStart w:id="591" w:name="_Toc4055314"/>
      <w:bookmarkStart w:id="592" w:name="_Toc21279"/>
      <w:r>
        <w:rPr>
          <w:rFonts w:hint="eastAsia" w:ascii="宋体" w:hAnsi="宋体" w:eastAsia="宋体" w:cs="宋体"/>
          <w:sz w:val="22"/>
          <w:szCs w:val="32"/>
        </w:rPr>
        <w:t>根据现场实际情况下达开工令。</w:t>
      </w:r>
      <w:bookmarkEnd w:id="590"/>
      <w:bookmarkEnd w:id="591"/>
      <w:bookmarkEnd w:id="59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93" w:name="_Toc4055850"/>
      <w:bookmarkStart w:id="594" w:name="_Toc4055315"/>
      <w:bookmarkStart w:id="595" w:name="_Toc4836"/>
      <w:r>
        <w:rPr>
          <w:rFonts w:hint="eastAsia" w:ascii="宋体" w:hAnsi="宋体" w:eastAsia="宋体" w:cs="宋体"/>
          <w:sz w:val="22"/>
          <w:szCs w:val="32"/>
        </w:rPr>
        <w:t>7.4 测量放线</w:t>
      </w:r>
      <w:bookmarkEnd w:id="593"/>
      <w:bookmarkEnd w:id="594"/>
      <w:bookmarkEnd w:id="59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596" w:name="_Toc4055316"/>
      <w:bookmarkStart w:id="597" w:name="_Toc24745"/>
      <w:bookmarkStart w:id="598" w:name="_Toc4055851"/>
      <w:r>
        <w:rPr>
          <w:rFonts w:hint="eastAsia" w:ascii="宋体" w:hAnsi="宋体" w:eastAsia="宋体" w:cs="宋体"/>
          <w:sz w:val="22"/>
          <w:szCs w:val="32"/>
        </w:rPr>
        <w:t>7.4.1发包人通过监理人向承包人提供测量基准点、基准线和水准点及其书面资料的期限：</w:t>
      </w:r>
      <w:r>
        <w:rPr>
          <w:rFonts w:hint="eastAsia" w:ascii="宋体" w:hAnsi="宋体" w:eastAsia="宋体" w:cs="宋体"/>
          <w:sz w:val="22"/>
          <w:szCs w:val="32"/>
          <w:u w:val="single"/>
        </w:rPr>
        <w:t>执行通用合同条款7.4.1</w:t>
      </w:r>
      <w:r>
        <w:rPr>
          <w:rFonts w:hint="eastAsia" w:ascii="宋体" w:hAnsi="宋体" w:eastAsia="宋体" w:cs="宋体"/>
          <w:sz w:val="22"/>
          <w:szCs w:val="32"/>
        </w:rPr>
        <w:t>。</w:t>
      </w:r>
      <w:bookmarkEnd w:id="596"/>
      <w:bookmarkEnd w:id="597"/>
      <w:bookmarkEnd w:id="59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599" w:name="_Toc4055852"/>
      <w:bookmarkStart w:id="600" w:name="_Toc32272"/>
      <w:bookmarkStart w:id="601" w:name="_Toc4055317"/>
      <w:r>
        <w:rPr>
          <w:rFonts w:hint="eastAsia" w:ascii="宋体" w:hAnsi="宋体" w:eastAsia="宋体" w:cs="宋体"/>
          <w:sz w:val="22"/>
          <w:szCs w:val="32"/>
        </w:rPr>
        <w:t>7.5 工期延误</w:t>
      </w:r>
      <w:bookmarkEnd w:id="599"/>
      <w:bookmarkEnd w:id="600"/>
      <w:bookmarkEnd w:id="60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02" w:name="_Toc4055318"/>
      <w:bookmarkStart w:id="603" w:name="_Toc18405"/>
      <w:bookmarkStart w:id="604" w:name="_Toc4055853"/>
      <w:r>
        <w:rPr>
          <w:rFonts w:hint="eastAsia" w:ascii="宋体" w:hAnsi="宋体" w:eastAsia="宋体" w:cs="宋体"/>
          <w:sz w:val="22"/>
          <w:szCs w:val="32"/>
        </w:rPr>
        <w:t>7.5.1 因发包人原因导致工期延误</w:t>
      </w:r>
      <w:bookmarkEnd w:id="602"/>
      <w:bookmarkEnd w:id="603"/>
      <w:bookmarkEnd w:id="60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605" w:name="_Toc4055319"/>
      <w:bookmarkStart w:id="606" w:name="_Toc4055854"/>
      <w:bookmarkStart w:id="607" w:name="_Toc8635"/>
      <w:r>
        <w:rPr>
          <w:rFonts w:hint="eastAsia" w:ascii="宋体" w:hAnsi="宋体" w:eastAsia="宋体" w:cs="宋体"/>
          <w:sz w:val="22"/>
          <w:szCs w:val="32"/>
        </w:rPr>
        <w:t>（7）因发包人原因导致工期延误的其他情形：</w:t>
      </w:r>
      <w:r>
        <w:rPr>
          <w:rFonts w:hint="eastAsia" w:ascii="宋体" w:hAnsi="宋体" w:eastAsia="宋体" w:cs="宋体"/>
          <w:sz w:val="22"/>
          <w:szCs w:val="32"/>
          <w:u w:val="single"/>
        </w:rPr>
        <w:t>因发包人原因导致工期延误的，工期顺延；发包人不承担费用。</w:t>
      </w:r>
      <w:bookmarkEnd w:id="605"/>
      <w:bookmarkEnd w:id="606"/>
      <w:bookmarkEnd w:id="60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08" w:name="_Toc4055320"/>
      <w:bookmarkStart w:id="609" w:name="_Toc21992"/>
      <w:bookmarkStart w:id="610" w:name="_Toc4055855"/>
      <w:r>
        <w:rPr>
          <w:rFonts w:hint="eastAsia" w:ascii="宋体" w:hAnsi="宋体" w:eastAsia="宋体" w:cs="宋体"/>
          <w:sz w:val="22"/>
          <w:szCs w:val="32"/>
        </w:rPr>
        <w:t>7.5.2 因承包人原因导致工期延误</w:t>
      </w:r>
      <w:bookmarkEnd w:id="608"/>
      <w:bookmarkEnd w:id="609"/>
      <w:bookmarkEnd w:id="61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611" w:name="_Toc4055856"/>
      <w:bookmarkStart w:id="612" w:name="_Toc4055321"/>
      <w:bookmarkStart w:id="613" w:name="_Toc32070"/>
      <w:r>
        <w:rPr>
          <w:rFonts w:hint="eastAsia" w:ascii="宋体" w:hAnsi="宋体" w:eastAsia="宋体" w:cs="宋体"/>
          <w:sz w:val="22"/>
          <w:szCs w:val="32"/>
        </w:rPr>
        <w:t>因承包人原因造成工期延误，逾期竣工违约金的计算方法为：</w:t>
      </w:r>
      <w:bookmarkEnd w:id="611"/>
      <w:bookmarkEnd w:id="612"/>
      <w:bookmarkEnd w:id="61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14" w:name="_Toc4055857"/>
      <w:bookmarkStart w:id="615" w:name="_Toc4055322"/>
      <w:bookmarkStart w:id="616" w:name="_Toc24742"/>
      <w:r>
        <w:rPr>
          <w:rFonts w:hint="eastAsia" w:ascii="宋体" w:hAnsi="宋体" w:eastAsia="宋体" w:cs="宋体"/>
          <w:sz w:val="22"/>
          <w:szCs w:val="32"/>
          <w:u w:val="single"/>
        </w:rPr>
        <w:t>如工程由于承包人原因未能按本合同约定的竣工日期完成竣工验收，未达到合格工程，如拖延一日，将按违约处理，每拖延一天，违约金人民币伍仟圆（5000元），本违约金将从应付工程款中扣除，造成发包人损失的应予承担赔偿责任。</w:t>
      </w:r>
      <w:bookmarkEnd w:id="614"/>
      <w:bookmarkEnd w:id="615"/>
      <w:bookmarkEnd w:id="61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617" w:name="_Toc31371"/>
      <w:bookmarkStart w:id="618" w:name="_Toc4055858"/>
      <w:bookmarkStart w:id="619" w:name="_Toc4055323"/>
      <w:r>
        <w:rPr>
          <w:rFonts w:hint="eastAsia" w:ascii="宋体" w:hAnsi="宋体" w:eastAsia="宋体" w:cs="宋体"/>
          <w:sz w:val="22"/>
          <w:szCs w:val="32"/>
        </w:rPr>
        <w:t>因承包人原因造成工期延误，逾期竣工违约金的上限：</w:t>
      </w:r>
      <w:r>
        <w:rPr>
          <w:rFonts w:hint="eastAsia" w:ascii="宋体" w:hAnsi="宋体" w:eastAsia="宋体" w:cs="宋体"/>
          <w:sz w:val="22"/>
          <w:szCs w:val="32"/>
          <w:u w:val="single"/>
        </w:rPr>
        <w:t>/。</w:t>
      </w:r>
      <w:bookmarkEnd w:id="617"/>
      <w:bookmarkEnd w:id="618"/>
      <w:bookmarkEnd w:id="61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20" w:name="_Toc4055324"/>
      <w:bookmarkStart w:id="621" w:name="_Toc12159"/>
      <w:bookmarkStart w:id="622" w:name="_Toc4055859"/>
      <w:r>
        <w:rPr>
          <w:rFonts w:hint="eastAsia" w:ascii="宋体" w:hAnsi="宋体" w:eastAsia="宋体" w:cs="宋体"/>
          <w:sz w:val="22"/>
          <w:szCs w:val="32"/>
        </w:rPr>
        <w:t>7.6 不利物质条件</w:t>
      </w:r>
      <w:bookmarkEnd w:id="620"/>
      <w:bookmarkEnd w:id="621"/>
      <w:bookmarkEnd w:id="62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23" w:name="_Toc23719"/>
      <w:bookmarkStart w:id="624" w:name="_Toc4055860"/>
      <w:bookmarkStart w:id="625" w:name="_Toc4055325"/>
      <w:r>
        <w:rPr>
          <w:rFonts w:hint="eastAsia" w:ascii="宋体" w:hAnsi="宋体" w:eastAsia="宋体" w:cs="宋体"/>
          <w:sz w:val="22"/>
          <w:szCs w:val="32"/>
        </w:rPr>
        <w:t>不利物质条件的其他情形和有关约定：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623"/>
      <w:bookmarkEnd w:id="624"/>
      <w:bookmarkEnd w:id="62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26" w:name="_Toc4055861"/>
      <w:bookmarkStart w:id="627" w:name="_Toc13653"/>
      <w:bookmarkStart w:id="628" w:name="_Toc4055326"/>
      <w:r>
        <w:rPr>
          <w:rFonts w:hint="eastAsia" w:ascii="宋体" w:hAnsi="宋体" w:eastAsia="宋体" w:cs="宋体"/>
          <w:sz w:val="22"/>
          <w:szCs w:val="32"/>
        </w:rPr>
        <w:t>7.7异常恶劣的气候条件</w:t>
      </w:r>
      <w:bookmarkEnd w:id="626"/>
      <w:bookmarkEnd w:id="627"/>
      <w:bookmarkEnd w:id="62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29" w:name="_Toc4055327"/>
      <w:bookmarkStart w:id="630" w:name="_Toc32330"/>
      <w:bookmarkStart w:id="631" w:name="_Toc4055862"/>
      <w:r>
        <w:rPr>
          <w:rFonts w:hint="eastAsia" w:ascii="宋体" w:hAnsi="宋体" w:eastAsia="宋体" w:cs="宋体"/>
          <w:sz w:val="22"/>
          <w:szCs w:val="32"/>
        </w:rPr>
        <w:t>发包人和承包人同意以下情形视为异常恶劣的气候条件</w:t>
      </w:r>
      <w:bookmarkStart w:id="632" w:name="OLE_LINK1"/>
      <w:bookmarkEnd w:id="632"/>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629"/>
      <w:bookmarkEnd w:id="630"/>
      <w:bookmarkEnd w:id="63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33" w:name="_Toc4129"/>
      <w:bookmarkStart w:id="634" w:name="_Toc4055863"/>
      <w:bookmarkStart w:id="635" w:name="_Toc4055328"/>
      <w:r>
        <w:rPr>
          <w:rFonts w:hint="eastAsia" w:ascii="宋体" w:hAnsi="宋体" w:eastAsia="宋体" w:cs="宋体"/>
          <w:sz w:val="22"/>
          <w:szCs w:val="32"/>
        </w:rPr>
        <w:t>7.8 暂定施工</w:t>
      </w:r>
      <w:bookmarkEnd w:id="633"/>
      <w:bookmarkEnd w:id="634"/>
      <w:bookmarkEnd w:id="63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36" w:name="_Toc4055329"/>
      <w:bookmarkStart w:id="637" w:name="_Toc9064"/>
      <w:bookmarkStart w:id="638" w:name="_Toc4055864"/>
      <w:r>
        <w:rPr>
          <w:rFonts w:hint="eastAsia" w:ascii="宋体" w:hAnsi="宋体" w:eastAsia="宋体" w:cs="宋体"/>
          <w:sz w:val="22"/>
          <w:szCs w:val="32"/>
        </w:rPr>
        <w:t>7.8.1 因发包人原因引起的暂停施工，停工期间的工程管护由承包人负责并承担相应费用。</w:t>
      </w:r>
      <w:bookmarkEnd w:id="636"/>
      <w:bookmarkEnd w:id="637"/>
      <w:bookmarkEnd w:id="63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39" w:name="_Toc4055865"/>
      <w:bookmarkStart w:id="640" w:name="_Toc8802"/>
      <w:bookmarkStart w:id="641" w:name="_Toc4055330"/>
      <w:r>
        <w:rPr>
          <w:rFonts w:hint="eastAsia" w:ascii="宋体" w:hAnsi="宋体" w:eastAsia="宋体" w:cs="宋体"/>
          <w:sz w:val="22"/>
          <w:szCs w:val="32"/>
        </w:rPr>
        <w:t>7.9 提前竣工的奖励</w:t>
      </w:r>
      <w:bookmarkEnd w:id="639"/>
      <w:bookmarkEnd w:id="640"/>
      <w:bookmarkEnd w:id="64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42" w:name="_Toc374"/>
      <w:bookmarkStart w:id="643" w:name="_Toc4055866"/>
      <w:bookmarkStart w:id="644" w:name="_Toc4055331"/>
      <w:r>
        <w:rPr>
          <w:rFonts w:hint="eastAsia" w:ascii="宋体" w:hAnsi="宋体" w:eastAsia="宋体" w:cs="宋体"/>
          <w:sz w:val="22"/>
          <w:szCs w:val="32"/>
        </w:rPr>
        <w:t>7.9.2提前竣工的奖励：</w:t>
      </w:r>
      <w:r>
        <w:rPr>
          <w:rFonts w:hint="eastAsia" w:ascii="宋体" w:hAnsi="宋体" w:eastAsia="宋体" w:cs="宋体"/>
          <w:b/>
          <w:bCs/>
          <w:sz w:val="22"/>
          <w:szCs w:val="32"/>
          <w:u w:val="single"/>
        </w:rPr>
        <w:t xml:space="preserve">/ </w:t>
      </w:r>
      <w:r>
        <w:rPr>
          <w:rFonts w:hint="eastAsia" w:ascii="宋体" w:hAnsi="宋体" w:eastAsia="宋体" w:cs="宋体"/>
          <w:sz w:val="22"/>
          <w:szCs w:val="32"/>
        </w:rPr>
        <w:t>。</w:t>
      </w:r>
      <w:bookmarkEnd w:id="642"/>
      <w:bookmarkEnd w:id="643"/>
      <w:bookmarkEnd w:id="644"/>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645" w:name="_Toc4055332"/>
      <w:bookmarkStart w:id="646" w:name="_Toc31968"/>
      <w:bookmarkStart w:id="647" w:name="_Toc4055867"/>
      <w:r>
        <w:rPr>
          <w:rFonts w:hint="eastAsia" w:ascii="宋体" w:hAnsi="宋体" w:eastAsia="宋体" w:cs="宋体"/>
          <w:b/>
          <w:bCs/>
          <w:sz w:val="22"/>
          <w:szCs w:val="32"/>
        </w:rPr>
        <w:t>8. 材料与设备</w:t>
      </w:r>
      <w:bookmarkEnd w:id="645"/>
      <w:bookmarkEnd w:id="646"/>
      <w:bookmarkEnd w:id="64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48" w:name="_Toc4055333"/>
      <w:bookmarkStart w:id="649" w:name="_Toc31394"/>
      <w:bookmarkStart w:id="650" w:name="_Toc4055868"/>
      <w:r>
        <w:rPr>
          <w:rFonts w:hint="eastAsia" w:ascii="宋体" w:hAnsi="宋体" w:eastAsia="宋体" w:cs="宋体"/>
          <w:sz w:val="22"/>
          <w:szCs w:val="32"/>
        </w:rPr>
        <w:t>8.4材料与工程设备的保管与使用</w:t>
      </w:r>
      <w:bookmarkEnd w:id="648"/>
      <w:bookmarkEnd w:id="649"/>
      <w:bookmarkEnd w:id="65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651" w:name="_Toc4055334"/>
      <w:bookmarkStart w:id="652" w:name="_Toc4055869"/>
      <w:bookmarkStart w:id="653" w:name="_Toc17294"/>
      <w:r>
        <w:rPr>
          <w:rFonts w:hint="eastAsia" w:ascii="宋体" w:hAnsi="宋体" w:eastAsia="宋体" w:cs="宋体"/>
          <w:sz w:val="22"/>
          <w:szCs w:val="32"/>
        </w:rPr>
        <w:t>8.4.1发包人供应的材料设备的保管费用的承担：</w:t>
      </w:r>
      <w:r>
        <w:rPr>
          <w:rFonts w:hint="eastAsia" w:ascii="宋体" w:hAnsi="宋体" w:eastAsia="宋体" w:cs="宋体"/>
          <w:sz w:val="22"/>
          <w:szCs w:val="32"/>
          <w:u w:val="single"/>
        </w:rPr>
        <w:t>由承包人承担</w:t>
      </w:r>
      <w:r>
        <w:rPr>
          <w:rFonts w:hint="eastAsia" w:ascii="宋体" w:hAnsi="宋体" w:eastAsia="宋体" w:cs="宋体"/>
          <w:sz w:val="22"/>
          <w:szCs w:val="32"/>
        </w:rPr>
        <w:t>。</w:t>
      </w:r>
      <w:bookmarkEnd w:id="651"/>
      <w:bookmarkEnd w:id="652"/>
      <w:bookmarkEnd w:id="65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54" w:name="_Toc11166"/>
      <w:bookmarkStart w:id="655" w:name="_Toc4055870"/>
      <w:bookmarkStart w:id="656" w:name="_Toc4055335"/>
      <w:r>
        <w:rPr>
          <w:rFonts w:hint="eastAsia" w:ascii="宋体" w:hAnsi="宋体" w:eastAsia="宋体" w:cs="宋体"/>
          <w:sz w:val="22"/>
          <w:szCs w:val="32"/>
        </w:rPr>
        <w:t>8.6 样品</w:t>
      </w:r>
      <w:bookmarkEnd w:id="654"/>
      <w:bookmarkEnd w:id="655"/>
      <w:bookmarkEnd w:id="65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57" w:name="_Toc20128"/>
      <w:bookmarkStart w:id="658" w:name="_Toc4055871"/>
      <w:bookmarkStart w:id="659" w:name="_Toc4055336"/>
      <w:r>
        <w:rPr>
          <w:rFonts w:hint="eastAsia" w:ascii="宋体" w:hAnsi="宋体" w:eastAsia="宋体" w:cs="宋体"/>
          <w:sz w:val="22"/>
          <w:szCs w:val="32"/>
        </w:rPr>
        <w:t>8.6.1</w:t>
      </w:r>
      <w:r>
        <w:rPr>
          <w:rFonts w:hint="eastAsia" w:ascii="宋体" w:hAnsi="宋体" w:eastAsia="宋体" w:cs="宋体"/>
          <w:sz w:val="22"/>
          <w:szCs w:val="32"/>
        </w:rPr>
        <w:tab/>
      </w:r>
      <w:r>
        <w:rPr>
          <w:rFonts w:hint="eastAsia" w:ascii="宋体" w:hAnsi="宋体" w:eastAsia="宋体" w:cs="宋体"/>
          <w:sz w:val="22"/>
          <w:szCs w:val="32"/>
        </w:rPr>
        <w:t>样品的报送与封存</w:t>
      </w:r>
      <w:bookmarkEnd w:id="657"/>
      <w:bookmarkEnd w:id="658"/>
      <w:bookmarkEnd w:id="65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660" w:name="_Toc4055872"/>
      <w:bookmarkStart w:id="661" w:name="_Toc10490"/>
      <w:bookmarkStart w:id="662" w:name="_Toc4055337"/>
      <w:r>
        <w:rPr>
          <w:rFonts w:hint="eastAsia" w:ascii="宋体" w:hAnsi="宋体" w:eastAsia="宋体" w:cs="宋体"/>
          <w:sz w:val="22"/>
          <w:szCs w:val="32"/>
        </w:rPr>
        <w:t>需要承包人报送样品的材料或工程设备，样品的种类、名称、规格、数量要求：</w:t>
      </w:r>
      <w:r>
        <w:rPr>
          <w:rFonts w:hint="eastAsia" w:ascii="宋体" w:hAnsi="宋体" w:eastAsia="宋体" w:cs="宋体"/>
          <w:sz w:val="22"/>
          <w:szCs w:val="32"/>
          <w:u w:val="single"/>
        </w:rPr>
        <w:t>按国家相关规范及质量监督主管部门要求和发包人需求确定</w:t>
      </w:r>
      <w:r>
        <w:rPr>
          <w:rFonts w:hint="eastAsia" w:ascii="宋体" w:hAnsi="宋体" w:eastAsia="宋体" w:cs="宋体"/>
          <w:sz w:val="22"/>
          <w:szCs w:val="32"/>
        </w:rPr>
        <w:t>。</w:t>
      </w:r>
      <w:bookmarkEnd w:id="660"/>
      <w:bookmarkEnd w:id="661"/>
      <w:bookmarkEnd w:id="66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63" w:name="_Toc4351"/>
      <w:bookmarkStart w:id="664" w:name="_Toc4055873"/>
      <w:bookmarkStart w:id="665" w:name="_Toc4055338"/>
      <w:r>
        <w:rPr>
          <w:rFonts w:hint="eastAsia" w:ascii="宋体" w:hAnsi="宋体" w:eastAsia="宋体" w:cs="宋体"/>
          <w:sz w:val="22"/>
          <w:szCs w:val="32"/>
        </w:rPr>
        <w:t>8.8 施工设备和临时设施</w:t>
      </w:r>
      <w:bookmarkEnd w:id="663"/>
      <w:bookmarkEnd w:id="664"/>
      <w:bookmarkEnd w:id="66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66" w:name="_Toc4055339"/>
      <w:bookmarkStart w:id="667" w:name="_Toc28708"/>
      <w:bookmarkStart w:id="668" w:name="_Toc4055874"/>
      <w:r>
        <w:rPr>
          <w:rFonts w:hint="eastAsia" w:ascii="宋体" w:hAnsi="宋体" w:eastAsia="宋体" w:cs="宋体"/>
          <w:sz w:val="22"/>
          <w:szCs w:val="32"/>
        </w:rPr>
        <w:t>8.8.1 承包人提供的施工设备和临时设施</w:t>
      </w:r>
      <w:bookmarkEnd w:id="666"/>
      <w:bookmarkEnd w:id="667"/>
      <w:bookmarkEnd w:id="66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669" w:name="_Toc22475"/>
      <w:bookmarkStart w:id="670" w:name="_Toc4055340"/>
      <w:bookmarkStart w:id="671" w:name="_Toc4055875"/>
      <w:r>
        <w:rPr>
          <w:rFonts w:hint="eastAsia" w:ascii="宋体" w:hAnsi="宋体" w:eastAsia="宋体" w:cs="宋体"/>
          <w:sz w:val="22"/>
          <w:szCs w:val="32"/>
        </w:rPr>
        <w:t>关于修建临时设施费用承担的约定：</w:t>
      </w:r>
      <w:r>
        <w:rPr>
          <w:rFonts w:hint="eastAsia" w:ascii="宋体" w:hAnsi="宋体" w:eastAsia="宋体" w:cs="宋体"/>
          <w:sz w:val="22"/>
          <w:szCs w:val="32"/>
          <w:u w:val="single"/>
        </w:rPr>
        <w:t>由承包人承担</w:t>
      </w:r>
      <w:r>
        <w:rPr>
          <w:rFonts w:hint="eastAsia" w:ascii="宋体" w:hAnsi="宋体" w:eastAsia="宋体" w:cs="宋体"/>
          <w:sz w:val="22"/>
          <w:szCs w:val="32"/>
        </w:rPr>
        <w:t>。</w:t>
      </w:r>
      <w:bookmarkEnd w:id="669"/>
      <w:bookmarkEnd w:id="670"/>
      <w:bookmarkEnd w:id="671"/>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672" w:name="_Toc4055341"/>
      <w:bookmarkStart w:id="673" w:name="_Toc29057"/>
      <w:bookmarkStart w:id="674" w:name="_Toc4055876"/>
      <w:r>
        <w:rPr>
          <w:rFonts w:hint="eastAsia" w:ascii="宋体" w:hAnsi="宋体" w:eastAsia="宋体" w:cs="宋体"/>
          <w:b/>
          <w:bCs/>
          <w:sz w:val="22"/>
          <w:szCs w:val="32"/>
        </w:rPr>
        <w:t>9. 试验与检验</w:t>
      </w:r>
      <w:bookmarkEnd w:id="672"/>
      <w:bookmarkEnd w:id="673"/>
      <w:bookmarkEnd w:id="67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75" w:name="_Toc4055877"/>
      <w:bookmarkStart w:id="676" w:name="_Toc4055342"/>
      <w:bookmarkStart w:id="677" w:name="_Toc21135"/>
      <w:r>
        <w:rPr>
          <w:rFonts w:hint="eastAsia" w:ascii="宋体" w:hAnsi="宋体" w:eastAsia="宋体" w:cs="宋体"/>
          <w:sz w:val="22"/>
          <w:szCs w:val="32"/>
        </w:rPr>
        <w:t>9.1试验设备与试验人员</w:t>
      </w:r>
      <w:bookmarkEnd w:id="675"/>
      <w:bookmarkEnd w:id="676"/>
      <w:bookmarkEnd w:id="67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78" w:name="_Toc1089"/>
      <w:bookmarkStart w:id="679" w:name="_Toc4055878"/>
      <w:bookmarkStart w:id="680" w:name="_Toc4055343"/>
      <w:r>
        <w:rPr>
          <w:rFonts w:hint="eastAsia" w:ascii="宋体" w:hAnsi="宋体" w:eastAsia="宋体" w:cs="宋体"/>
          <w:sz w:val="22"/>
          <w:szCs w:val="32"/>
        </w:rPr>
        <w:t>9.1.2 试验设备</w:t>
      </w:r>
      <w:bookmarkEnd w:id="678"/>
      <w:bookmarkEnd w:id="679"/>
      <w:bookmarkEnd w:id="68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81" w:name="_Toc4678"/>
      <w:bookmarkStart w:id="682" w:name="_Toc4055344"/>
      <w:bookmarkStart w:id="683" w:name="_Toc4055879"/>
      <w:r>
        <w:rPr>
          <w:rFonts w:hint="eastAsia" w:ascii="宋体" w:hAnsi="宋体" w:eastAsia="宋体" w:cs="宋体"/>
          <w:sz w:val="22"/>
          <w:szCs w:val="32"/>
        </w:rPr>
        <w:t>施工现场需要配置的试验场所：由承包人提供。</w:t>
      </w:r>
      <w:bookmarkEnd w:id="681"/>
      <w:bookmarkEnd w:id="682"/>
      <w:bookmarkEnd w:id="68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684" w:name="_Toc4055345"/>
      <w:bookmarkStart w:id="685" w:name="_Toc4055880"/>
      <w:bookmarkStart w:id="686" w:name="_Toc23001"/>
      <w:r>
        <w:rPr>
          <w:rFonts w:hint="eastAsia" w:ascii="宋体" w:hAnsi="宋体" w:eastAsia="宋体" w:cs="宋体"/>
          <w:sz w:val="22"/>
          <w:szCs w:val="32"/>
        </w:rPr>
        <w:t>施工现场需要配备的试验设备：由承包人提供。。</w:t>
      </w:r>
      <w:bookmarkEnd w:id="684"/>
      <w:bookmarkEnd w:id="685"/>
      <w:bookmarkEnd w:id="68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687" w:name="_Toc23914"/>
      <w:bookmarkStart w:id="688" w:name="_Toc4055881"/>
      <w:bookmarkStart w:id="689" w:name="_Toc4055346"/>
      <w:r>
        <w:rPr>
          <w:rFonts w:hint="eastAsia" w:ascii="宋体" w:hAnsi="宋体" w:eastAsia="宋体" w:cs="宋体"/>
          <w:sz w:val="22"/>
          <w:szCs w:val="32"/>
        </w:rPr>
        <w:t>施工现场需要具备的其他试验条件：</w:t>
      </w:r>
      <w:r>
        <w:rPr>
          <w:rFonts w:hint="eastAsia" w:ascii="宋体" w:hAnsi="宋体" w:eastAsia="宋体" w:cs="宋体"/>
          <w:sz w:val="22"/>
          <w:szCs w:val="32"/>
          <w:u w:val="single"/>
        </w:rPr>
        <w:t>/</w:t>
      </w:r>
      <w:r>
        <w:rPr>
          <w:rFonts w:hint="eastAsia" w:ascii="宋体" w:hAnsi="宋体" w:eastAsia="宋体" w:cs="宋体"/>
          <w:sz w:val="22"/>
          <w:szCs w:val="32"/>
        </w:rPr>
        <w:t>。</w:t>
      </w:r>
      <w:bookmarkEnd w:id="687"/>
      <w:bookmarkEnd w:id="688"/>
      <w:bookmarkEnd w:id="68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90" w:name="_Toc4055347"/>
      <w:bookmarkStart w:id="691" w:name="_Toc30281"/>
      <w:bookmarkStart w:id="692" w:name="_Toc4055882"/>
      <w:r>
        <w:rPr>
          <w:rFonts w:hint="eastAsia" w:ascii="宋体" w:hAnsi="宋体" w:eastAsia="宋体" w:cs="宋体"/>
          <w:sz w:val="22"/>
          <w:szCs w:val="32"/>
        </w:rPr>
        <w:t>9.4 现场工艺试验</w:t>
      </w:r>
      <w:bookmarkEnd w:id="690"/>
      <w:bookmarkEnd w:id="691"/>
      <w:bookmarkEnd w:id="69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693" w:name="_Toc27044"/>
      <w:bookmarkStart w:id="694" w:name="_Toc4055348"/>
      <w:bookmarkStart w:id="695" w:name="_Toc4055883"/>
      <w:r>
        <w:rPr>
          <w:rFonts w:hint="eastAsia" w:ascii="宋体" w:hAnsi="宋体" w:eastAsia="宋体" w:cs="宋体"/>
          <w:sz w:val="22"/>
          <w:szCs w:val="32"/>
        </w:rPr>
        <w:t>现场工艺试验的有关约定：</w:t>
      </w:r>
      <w:r>
        <w:rPr>
          <w:rFonts w:hint="eastAsia" w:ascii="宋体" w:hAnsi="宋体" w:eastAsia="宋体" w:cs="宋体"/>
          <w:sz w:val="22"/>
          <w:szCs w:val="32"/>
          <w:u w:val="single"/>
        </w:rPr>
        <w:t>/</w:t>
      </w:r>
      <w:r>
        <w:rPr>
          <w:rFonts w:hint="eastAsia" w:ascii="宋体" w:hAnsi="宋体" w:eastAsia="宋体" w:cs="宋体"/>
          <w:sz w:val="22"/>
          <w:szCs w:val="32"/>
        </w:rPr>
        <w:t>。</w:t>
      </w:r>
      <w:bookmarkEnd w:id="693"/>
      <w:bookmarkEnd w:id="694"/>
      <w:bookmarkEnd w:id="695"/>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696" w:name="_Toc4055884"/>
      <w:bookmarkStart w:id="697" w:name="_Toc7066"/>
      <w:bookmarkStart w:id="698" w:name="_Toc4055349"/>
      <w:r>
        <w:rPr>
          <w:rFonts w:hint="eastAsia" w:ascii="宋体" w:hAnsi="宋体" w:eastAsia="宋体" w:cs="宋体"/>
          <w:b/>
          <w:bCs/>
          <w:sz w:val="22"/>
          <w:szCs w:val="32"/>
        </w:rPr>
        <w:t>10. 变更</w:t>
      </w:r>
      <w:bookmarkEnd w:id="696"/>
      <w:bookmarkEnd w:id="697"/>
      <w:bookmarkEnd w:id="69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699" w:name="_Toc4055885"/>
      <w:bookmarkStart w:id="700" w:name="_Toc4055350"/>
      <w:bookmarkStart w:id="701" w:name="_Toc20440"/>
      <w:r>
        <w:rPr>
          <w:rFonts w:hint="eastAsia" w:ascii="宋体" w:hAnsi="宋体" w:eastAsia="宋体" w:cs="宋体"/>
          <w:sz w:val="22"/>
          <w:szCs w:val="32"/>
        </w:rPr>
        <w:t>10.1变更的范围</w:t>
      </w:r>
      <w:bookmarkEnd w:id="699"/>
      <w:bookmarkEnd w:id="700"/>
      <w:bookmarkEnd w:id="70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702" w:name="_Toc4055886"/>
      <w:bookmarkStart w:id="703" w:name="_Toc4055351"/>
      <w:bookmarkStart w:id="704" w:name="_Toc18993"/>
      <w:r>
        <w:rPr>
          <w:rFonts w:hint="eastAsia" w:ascii="宋体" w:hAnsi="宋体" w:eastAsia="宋体" w:cs="宋体"/>
          <w:sz w:val="22"/>
          <w:szCs w:val="32"/>
        </w:rPr>
        <w:t>关于变更的范围的约定：</w:t>
      </w:r>
      <w:r>
        <w:rPr>
          <w:rFonts w:hint="eastAsia" w:ascii="宋体" w:hAnsi="宋体" w:eastAsia="宋体" w:cs="宋体"/>
          <w:sz w:val="22"/>
          <w:szCs w:val="32"/>
          <w:u w:val="single"/>
        </w:rPr>
        <w:t>执行通用合同条款10.1</w:t>
      </w:r>
      <w:r>
        <w:rPr>
          <w:rFonts w:hint="eastAsia" w:ascii="宋体" w:hAnsi="宋体" w:eastAsia="宋体" w:cs="宋体"/>
          <w:sz w:val="22"/>
          <w:szCs w:val="32"/>
        </w:rPr>
        <w:t>。</w:t>
      </w:r>
      <w:bookmarkEnd w:id="702"/>
      <w:bookmarkEnd w:id="703"/>
      <w:bookmarkEnd w:id="70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05" w:name="_Toc30106"/>
      <w:bookmarkStart w:id="706" w:name="_Toc4055352"/>
      <w:bookmarkStart w:id="707" w:name="_Toc4055887"/>
      <w:r>
        <w:rPr>
          <w:rFonts w:hint="eastAsia" w:ascii="宋体" w:hAnsi="宋体" w:eastAsia="宋体" w:cs="宋体"/>
          <w:sz w:val="22"/>
          <w:szCs w:val="32"/>
        </w:rPr>
        <w:t>10.4 变更估价</w:t>
      </w:r>
      <w:bookmarkEnd w:id="705"/>
      <w:bookmarkEnd w:id="706"/>
      <w:bookmarkEnd w:id="70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08" w:name="_Toc4055353"/>
      <w:bookmarkStart w:id="709" w:name="_Toc17651"/>
      <w:bookmarkStart w:id="710" w:name="_Toc4055888"/>
      <w:r>
        <w:rPr>
          <w:rFonts w:hint="eastAsia" w:ascii="宋体" w:hAnsi="宋体" w:eastAsia="宋体" w:cs="宋体"/>
          <w:sz w:val="22"/>
          <w:szCs w:val="32"/>
        </w:rPr>
        <w:t>10.4.1 变更估价原则</w:t>
      </w:r>
      <w:bookmarkEnd w:id="708"/>
      <w:bookmarkEnd w:id="709"/>
      <w:bookmarkEnd w:id="71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b/>
          <w:sz w:val="22"/>
          <w:szCs w:val="32"/>
        </w:rPr>
      </w:pPr>
      <w:bookmarkStart w:id="711" w:name="_Toc4055354"/>
      <w:bookmarkStart w:id="712" w:name="_Toc4055889"/>
      <w:bookmarkStart w:id="713" w:name="_Toc16215"/>
      <w:r>
        <w:rPr>
          <w:rFonts w:hint="eastAsia" w:ascii="宋体" w:hAnsi="宋体" w:eastAsia="宋体" w:cs="宋体"/>
          <w:sz w:val="22"/>
          <w:szCs w:val="32"/>
        </w:rPr>
        <w:t>关于变更估价的约定:</w:t>
      </w:r>
      <w:r>
        <w:rPr>
          <w:rFonts w:hint="eastAsia" w:ascii="宋体" w:hAnsi="宋体" w:eastAsia="宋体" w:cs="宋体"/>
          <w:sz w:val="22"/>
          <w:szCs w:val="32"/>
          <w:u w:val="single"/>
        </w:rPr>
        <w:t xml:space="preserve"> </w:t>
      </w:r>
      <w:bookmarkEnd w:id="711"/>
      <w:bookmarkEnd w:id="712"/>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71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14" w:name="_Toc16206"/>
      <w:bookmarkStart w:id="715" w:name="_Toc4055890"/>
      <w:bookmarkStart w:id="716" w:name="_Toc4055355"/>
      <w:r>
        <w:rPr>
          <w:rFonts w:hint="eastAsia" w:ascii="宋体" w:hAnsi="宋体" w:eastAsia="宋体" w:cs="宋体"/>
          <w:sz w:val="22"/>
          <w:szCs w:val="32"/>
        </w:rPr>
        <w:t>10.5承包人的合理化建议</w:t>
      </w:r>
      <w:bookmarkEnd w:id="714"/>
      <w:bookmarkEnd w:id="715"/>
      <w:bookmarkEnd w:id="71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17" w:name="_Toc14515"/>
      <w:bookmarkStart w:id="718" w:name="_Toc4055356"/>
      <w:bookmarkStart w:id="719" w:name="_Toc4055891"/>
      <w:r>
        <w:rPr>
          <w:rFonts w:hint="eastAsia" w:ascii="宋体" w:hAnsi="宋体" w:eastAsia="宋体" w:cs="宋体"/>
          <w:sz w:val="22"/>
          <w:szCs w:val="32"/>
        </w:rPr>
        <w:t>监理人审查承包人合理化建议的期限：</w:t>
      </w:r>
      <w:r>
        <w:rPr>
          <w:rFonts w:hint="eastAsia" w:ascii="宋体" w:hAnsi="宋体" w:eastAsia="宋体" w:cs="宋体"/>
          <w:sz w:val="22"/>
          <w:szCs w:val="32"/>
          <w:u w:val="single"/>
        </w:rPr>
        <w:t>执行通用合同条款10.5</w:t>
      </w:r>
      <w:r>
        <w:rPr>
          <w:rFonts w:hint="eastAsia" w:ascii="宋体" w:hAnsi="宋体" w:eastAsia="宋体" w:cs="宋体"/>
          <w:sz w:val="22"/>
          <w:szCs w:val="32"/>
        </w:rPr>
        <w:t>。</w:t>
      </w:r>
      <w:bookmarkEnd w:id="717"/>
      <w:bookmarkEnd w:id="718"/>
      <w:bookmarkEnd w:id="71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20" w:name="_Toc19605"/>
      <w:bookmarkStart w:id="721" w:name="_Toc4055892"/>
      <w:bookmarkStart w:id="722" w:name="_Toc4055357"/>
      <w:r>
        <w:rPr>
          <w:rFonts w:hint="eastAsia" w:ascii="宋体" w:hAnsi="宋体" w:eastAsia="宋体" w:cs="宋体"/>
          <w:sz w:val="22"/>
          <w:szCs w:val="32"/>
        </w:rPr>
        <w:t>发包人审批承包人合理化建议的期限：</w:t>
      </w:r>
      <w:r>
        <w:rPr>
          <w:rFonts w:hint="eastAsia" w:ascii="宋体" w:hAnsi="宋体" w:eastAsia="宋体" w:cs="宋体"/>
          <w:sz w:val="22"/>
          <w:szCs w:val="32"/>
          <w:u w:val="single"/>
        </w:rPr>
        <w:t>执行通用合同条款10.5</w:t>
      </w:r>
      <w:r>
        <w:rPr>
          <w:rFonts w:hint="eastAsia" w:ascii="宋体" w:hAnsi="宋体" w:eastAsia="宋体" w:cs="宋体"/>
          <w:sz w:val="22"/>
          <w:szCs w:val="32"/>
        </w:rPr>
        <w:t>。</w:t>
      </w:r>
      <w:bookmarkEnd w:id="720"/>
      <w:bookmarkEnd w:id="721"/>
      <w:bookmarkEnd w:id="72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723" w:name="_Toc4055893"/>
      <w:bookmarkStart w:id="724" w:name="_Toc3309"/>
      <w:bookmarkStart w:id="725" w:name="_Toc4055358"/>
      <w:r>
        <w:rPr>
          <w:rFonts w:hint="eastAsia" w:ascii="宋体" w:hAnsi="宋体" w:eastAsia="宋体" w:cs="宋体"/>
          <w:sz w:val="22"/>
          <w:szCs w:val="32"/>
        </w:rPr>
        <w:t>承包人提出的合理化建议降低了合同价格或者提高了工程经济效益的奖励的方法和金额为：</w:t>
      </w:r>
      <w:r>
        <w:rPr>
          <w:rFonts w:hint="eastAsia" w:ascii="宋体" w:hAnsi="宋体" w:eastAsia="宋体" w:cs="宋体"/>
          <w:sz w:val="22"/>
          <w:szCs w:val="32"/>
          <w:u w:val="single"/>
        </w:rPr>
        <w:t xml:space="preserve"> 另行协商 </w:t>
      </w:r>
      <w:r>
        <w:rPr>
          <w:rFonts w:hint="eastAsia" w:ascii="宋体" w:hAnsi="宋体" w:eastAsia="宋体" w:cs="宋体"/>
          <w:sz w:val="22"/>
          <w:szCs w:val="32"/>
        </w:rPr>
        <w:t>。</w:t>
      </w:r>
      <w:bookmarkEnd w:id="723"/>
      <w:bookmarkEnd w:id="724"/>
      <w:bookmarkEnd w:id="72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26" w:name="_Toc4055359"/>
      <w:bookmarkStart w:id="727" w:name="_Toc4055894"/>
      <w:bookmarkStart w:id="728" w:name="_Toc9055"/>
      <w:r>
        <w:rPr>
          <w:rFonts w:hint="eastAsia" w:ascii="宋体" w:hAnsi="宋体" w:eastAsia="宋体" w:cs="宋体"/>
          <w:sz w:val="22"/>
          <w:szCs w:val="32"/>
        </w:rPr>
        <w:t>10.7 暂估价</w:t>
      </w:r>
      <w:bookmarkEnd w:id="726"/>
      <w:bookmarkEnd w:id="727"/>
      <w:bookmarkEnd w:id="72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29" w:name="_Toc14149"/>
      <w:bookmarkStart w:id="730" w:name="_Toc4055895"/>
      <w:bookmarkStart w:id="731" w:name="_Toc4055360"/>
      <w:r>
        <w:rPr>
          <w:rFonts w:hint="eastAsia" w:ascii="宋体" w:hAnsi="宋体" w:eastAsia="宋体" w:cs="宋体"/>
          <w:sz w:val="22"/>
          <w:szCs w:val="32"/>
        </w:rPr>
        <w:t>暂估价材料和工程设备的明细详见附件11：《暂估价一览表》。</w:t>
      </w:r>
      <w:bookmarkEnd w:id="729"/>
      <w:bookmarkEnd w:id="730"/>
      <w:bookmarkEnd w:id="73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32" w:name="_Toc4055361"/>
      <w:bookmarkStart w:id="733" w:name="_Toc4055896"/>
      <w:bookmarkStart w:id="734" w:name="_Toc7372"/>
      <w:r>
        <w:rPr>
          <w:rFonts w:hint="eastAsia" w:ascii="宋体" w:hAnsi="宋体" w:eastAsia="宋体" w:cs="宋体"/>
          <w:sz w:val="22"/>
          <w:szCs w:val="32"/>
        </w:rPr>
        <w:t>10.7.1 依法必须招标的暂估价项目</w:t>
      </w:r>
      <w:bookmarkEnd w:id="732"/>
      <w:bookmarkEnd w:id="733"/>
      <w:bookmarkEnd w:id="73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35" w:name="_Toc4055362"/>
      <w:bookmarkStart w:id="736" w:name="_Toc4055897"/>
      <w:bookmarkStart w:id="737" w:name="_Toc21436"/>
      <w:r>
        <w:rPr>
          <w:rFonts w:hint="eastAsia" w:ascii="宋体" w:hAnsi="宋体" w:eastAsia="宋体" w:cs="宋体"/>
          <w:sz w:val="22"/>
          <w:szCs w:val="32"/>
        </w:rPr>
        <w:t>对于依法必须招标的暂估价项目的确认和批准采取第</w:t>
      </w:r>
      <w:r>
        <w:rPr>
          <w:rFonts w:hint="eastAsia" w:ascii="宋体" w:hAnsi="宋体" w:eastAsia="宋体" w:cs="宋体"/>
          <w:sz w:val="22"/>
          <w:szCs w:val="32"/>
          <w:u w:val="single"/>
        </w:rPr>
        <w:t>1</w:t>
      </w:r>
      <w:r>
        <w:rPr>
          <w:rFonts w:hint="eastAsia" w:ascii="宋体" w:hAnsi="宋体" w:eastAsia="宋体" w:cs="宋体"/>
          <w:sz w:val="22"/>
          <w:szCs w:val="32"/>
        </w:rPr>
        <w:t>种方式确定。</w:t>
      </w:r>
      <w:bookmarkEnd w:id="735"/>
      <w:bookmarkEnd w:id="736"/>
      <w:bookmarkEnd w:id="73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38" w:name="_Toc4055363"/>
      <w:bookmarkStart w:id="739" w:name="_Toc22222"/>
      <w:bookmarkStart w:id="740" w:name="_Toc4055898"/>
      <w:r>
        <w:rPr>
          <w:rFonts w:hint="eastAsia" w:ascii="宋体" w:hAnsi="宋体" w:eastAsia="宋体" w:cs="宋体"/>
          <w:sz w:val="22"/>
          <w:szCs w:val="32"/>
        </w:rPr>
        <w:t>10.7.2 不属于依法必须招标的暂估价项目</w:t>
      </w:r>
      <w:bookmarkEnd w:id="738"/>
      <w:bookmarkEnd w:id="739"/>
      <w:bookmarkEnd w:id="74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41" w:name="_Toc31396"/>
      <w:bookmarkStart w:id="742" w:name="_Toc4055899"/>
      <w:bookmarkStart w:id="743" w:name="_Toc4055364"/>
      <w:r>
        <w:rPr>
          <w:rFonts w:hint="eastAsia" w:ascii="宋体" w:hAnsi="宋体" w:eastAsia="宋体" w:cs="宋体"/>
          <w:sz w:val="22"/>
          <w:szCs w:val="32"/>
        </w:rPr>
        <w:t>对于不属于依法必须招标的暂估价项目的确认和批准采取第</w:t>
      </w:r>
      <w:r>
        <w:rPr>
          <w:rFonts w:hint="eastAsia" w:ascii="宋体" w:hAnsi="宋体" w:eastAsia="宋体" w:cs="宋体"/>
          <w:sz w:val="22"/>
          <w:szCs w:val="32"/>
          <w:u w:val="single"/>
        </w:rPr>
        <w:t>1</w:t>
      </w:r>
      <w:r>
        <w:rPr>
          <w:rFonts w:hint="eastAsia" w:ascii="宋体" w:hAnsi="宋体" w:eastAsia="宋体" w:cs="宋体"/>
          <w:sz w:val="22"/>
          <w:szCs w:val="32"/>
        </w:rPr>
        <w:t>种方式确定。</w:t>
      </w:r>
      <w:bookmarkEnd w:id="741"/>
      <w:bookmarkEnd w:id="742"/>
      <w:bookmarkEnd w:id="74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44" w:name="_Toc4055900"/>
      <w:bookmarkStart w:id="745" w:name="_Toc23023"/>
      <w:bookmarkStart w:id="746" w:name="_Toc4055365"/>
      <w:r>
        <w:rPr>
          <w:rFonts w:hint="eastAsia" w:ascii="宋体" w:hAnsi="宋体" w:eastAsia="宋体" w:cs="宋体"/>
          <w:sz w:val="22"/>
          <w:szCs w:val="32"/>
        </w:rPr>
        <w:t>第3种方式：承包人直接实施的暂估价项目</w:t>
      </w:r>
      <w:bookmarkEnd w:id="744"/>
      <w:bookmarkEnd w:id="745"/>
      <w:bookmarkEnd w:id="74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47" w:name="_Toc4055901"/>
      <w:bookmarkStart w:id="748" w:name="_Toc4055366"/>
      <w:bookmarkStart w:id="749" w:name="_Toc9687"/>
      <w:r>
        <w:rPr>
          <w:rFonts w:hint="eastAsia" w:ascii="宋体" w:hAnsi="宋体" w:eastAsia="宋体" w:cs="宋体"/>
          <w:sz w:val="22"/>
          <w:szCs w:val="32"/>
        </w:rPr>
        <w:t>承包人直接实施的暂估价项目的约定：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747"/>
      <w:bookmarkEnd w:id="748"/>
      <w:bookmarkEnd w:id="74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50" w:name="_Toc4055367"/>
      <w:bookmarkStart w:id="751" w:name="_Toc4055902"/>
      <w:bookmarkStart w:id="752" w:name="_Toc26163"/>
      <w:r>
        <w:rPr>
          <w:rFonts w:hint="eastAsia" w:ascii="宋体" w:hAnsi="宋体" w:eastAsia="宋体" w:cs="宋体"/>
          <w:sz w:val="22"/>
          <w:szCs w:val="32"/>
        </w:rPr>
        <w:t>10.8 暂列金额</w:t>
      </w:r>
      <w:bookmarkEnd w:id="750"/>
      <w:bookmarkEnd w:id="751"/>
      <w:bookmarkEnd w:id="75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53" w:name="_Toc4055368"/>
      <w:bookmarkStart w:id="754" w:name="_Toc21653"/>
      <w:bookmarkStart w:id="755" w:name="_Toc4055903"/>
      <w:r>
        <w:rPr>
          <w:rFonts w:hint="eastAsia" w:ascii="宋体" w:hAnsi="宋体" w:eastAsia="宋体" w:cs="宋体"/>
          <w:sz w:val="22"/>
          <w:szCs w:val="32"/>
        </w:rPr>
        <w:t>合同当事人关于暂列金额使用的约定：</w:t>
      </w:r>
      <w:r>
        <w:rPr>
          <w:rFonts w:hint="eastAsia" w:ascii="宋体" w:hAnsi="宋体" w:eastAsia="宋体" w:cs="宋体"/>
          <w:sz w:val="22"/>
          <w:szCs w:val="32"/>
          <w:u w:val="single"/>
        </w:rPr>
        <w:t>施工中可能发生的工程变更、索赔、现场签证、不可预见的材料、设备、服务采购，合同约定的调整因素出现时的合同价格调整等确认的费用。由施工单位、监理单位、设计单位、建设单位共同现场确认（必要时须请建设单位上级监督部门相关人员到场）后实施，并按实际发生量结算。</w:t>
      </w:r>
      <w:bookmarkEnd w:id="753"/>
      <w:bookmarkEnd w:id="754"/>
      <w:bookmarkEnd w:id="755"/>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756" w:name="_Toc26619"/>
      <w:bookmarkStart w:id="757" w:name="_Toc4055369"/>
      <w:bookmarkStart w:id="758" w:name="_Toc4055904"/>
      <w:r>
        <w:rPr>
          <w:rFonts w:hint="eastAsia" w:ascii="宋体" w:hAnsi="宋体" w:eastAsia="宋体" w:cs="宋体"/>
          <w:b/>
          <w:bCs/>
          <w:sz w:val="22"/>
          <w:szCs w:val="32"/>
        </w:rPr>
        <w:t>11. 价格调整</w:t>
      </w:r>
      <w:bookmarkEnd w:id="756"/>
      <w:bookmarkEnd w:id="757"/>
      <w:bookmarkEnd w:id="75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59" w:name="_Toc4055370"/>
      <w:bookmarkStart w:id="760" w:name="_Toc2900"/>
      <w:bookmarkStart w:id="761" w:name="_Toc4055905"/>
      <w:r>
        <w:rPr>
          <w:rFonts w:hint="eastAsia" w:ascii="宋体" w:hAnsi="宋体" w:eastAsia="宋体" w:cs="宋体"/>
          <w:sz w:val="22"/>
          <w:szCs w:val="32"/>
        </w:rPr>
        <w:t>11.1 市场价格波动引起的调整</w:t>
      </w:r>
      <w:bookmarkEnd w:id="759"/>
      <w:bookmarkEnd w:id="760"/>
      <w:bookmarkEnd w:id="76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762" w:name="_Toc4055906"/>
      <w:bookmarkStart w:id="763" w:name="_Toc4055371"/>
      <w:bookmarkStart w:id="764" w:name="_Toc23834"/>
      <w:r>
        <w:rPr>
          <w:rFonts w:hint="eastAsia" w:ascii="宋体" w:hAnsi="宋体" w:eastAsia="宋体" w:cs="宋体"/>
          <w:sz w:val="22"/>
          <w:szCs w:val="32"/>
        </w:rPr>
        <w:t>市场价格波动是否调整合同价格的约定：</w:t>
      </w:r>
      <w:r>
        <w:rPr>
          <w:rFonts w:hint="eastAsia" w:ascii="宋体" w:hAnsi="宋体" w:eastAsia="宋体" w:cs="宋体"/>
          <w:sz w:val="22"/>
          <w:szCs w:val="32"/>
          <w:u w:val="single"/>
        </w:rPr>
        <w:t>原则上不进行调整。</w:t>
      </w:r>
      <w:bookmarkEnd w:id="762"/>
      <w:bookmarkEnd w:id="763"/>
      <w:bookmarkEnd w:id="76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765" w:name="_Toc30470"/>
      <w:bookmarkStart w:id="766" w:name="_Toc4055908"/>
      <w:bookmarkStart w:id="767" w:name="_Toc4055373"/>
      <w:r>
        <w:rPr>
          <w:rFonts w:hint="eastAsia" w:ascii="宋体" w:hAnsi="宋体" w:eastAsia="宋体" w:cs="宋体"/>
          <w:sz w:val="22"/>
          <w:szCs w:val="32"/>
          <w:u w:val="single"/>
        </w:rPr>
        <w:t>因承包方延误工期所导致的材料涨价不做调整，材料降价予以调整</w:t>
      </w:r>
      <w:r>
        <w:rPr>
          <w:rFonts w:hint="eastAsia" w:ascii="宋体" w:hAnsi="宋体" w:eastAsia="宋体" w:cs="宋体"/>
          <w:sz w:val="22"/>
          <w:szCs w:val="32"/>
        </w:rPr>
        <w:t>。</w:t>
      </w:r>
      <w:bookmarkEnd w:id="765"/>
      <w:bookmarkEnd w:id="766"/>
      <w:bookmarkEnd w:id="76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68" w:name="_Toc29563"/>
      <w:bookmarkStart w:id="769" w:name="_Toc4055378"/>
      <w:bookmarkStart w:id="770" w:name="_Toc4055913"/>
      <w:r>
        <w:rPr>
          <w:rFonts w:hint="eastAsia" w:ascii="宋体" w:hAnsi="宋体" w:eastAsia="宋体" w:cs="宋体"/>
          <w:sz w:val="22"/>
          <w:szCs w:val="32"/>
        </w:rPr>
        <w:t>（1）人工单价不调整。</w:t>
      </w:r>
      <w:bookmarkEnd w:id="768"/>
      <w:bookmarkEnd w:id="769"/>
      <w:bookmarkEnd w:id="77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71" w:name="_Toc4055914"/>
      <w:bookmarkStart w:id="772" w:name="_Toc4055379"/>
      <w:bookmarkStart w:id="773" w:name="_Toc30627"/>
      <w:r>
        <w:rPr>
          <w:rFonts w:hint="eastAsia" w:ascii="宋体" w:hAnsi="宋体" w:eastAsia="宋体" w:cs="宋体"/>
          <w:sz w:val="22"/>
          <w:szCs w:val="32"/>
        </w:rPr>
        <w:t>（2）关于材料价格的调整：</w:t>
      </w:r>
      <w:bookmarkEnd w:id="771"/>
      <w:bookmarkEnd w:id="772"/>
      <w:bookmarkStart w:id="774" w:name="_Toc4055915"/>
      <w:bookmarkStart w:id="775" w:name="_Toc4055380"/>
      <w:r>
        <w:rPr>
          <w:rFonts w:hint="eastAsia" w:ascii="宋体" w:hAnsi="宋体" w:eastAsia="宋体" w:cs="宋体"/>
          <w:sz w:val="22"/>
          <w:szCs w:val="32"/>
        </w:rPr>
        <w:t>原则上不进行调整，如若必须调整时，可参照《河南省交通建设项目工程施工主要材料价差调整指导性意见》进行调整。</w:t>
      </w:r>
      <w:bookmarkEnd w:id="77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76" w:name="_Toc13830"/>
      <w:r>
        <w:rPr>
          <w:rFonts w:hint="eastAsia" w:ascii="宋体" w:hAnsi="宋体" w:eastAsia="宋体" w:cs="宋体"/>
          <w:sz w:val="22"/>
          <w:szCs w:val="32"/>
        </w:rPr>
        <w:t>（3）机械费用不调整。</w:t>
      </w:r>
      <w:bookmarkEnd w:id="774"/>
      <w:bookmarkEnd w:id="775"/>
      <w:bookmarkEnd w:id="776"/>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777" w:name="_Toc13308"/>
      <w:bookmarkStart w:id="778" w:name="_Toc4055917"/>
      <w:bookmarkStart w:id="779" w:name="_Toc4055382"/>
      <w:r>
        <w:rPr>
          <w:rFonts w:hint="eastAsia" w:ascii="宋体" w:hAnsi="宋体" w:eastAsia="宋体" w:cs="宋体"/>
          <w:b/>
          <w:bCs/>
          <w:sz w:val="22"/>
          <w:szCs w:val="32"/>
        </w:rPr>
        <w:t>12. 合同价格、计量与支付</w:t>
      </w:r>
      <w:bookmarkEnd w:id="777"/>
      <w:bookmarkEnd w:id="778"/>
      <w:bookmarkEnd w:id="77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80" w:name="_Toc4055383"/>
      <w:bookmarkStart w:id="781" w:name="_Toc4055918"/>
      <w:bookmarkStart w:id="782" w:name="_Toc427"/>
      <w:r>
        <w:rPr>
          <w:rFonts w:hint="eastAsia" w:ascii="宋体" w:hAnsi="宋体" w:eastAsia="宋体" w:cs="宋体"/>
          <w:sz w:val="22"/>
          <w:szCs w:val="32"/>
        </w:rPr>
        <w:t>12.1 合同价格形式</w:t>
      </w:r>
      <w:bookmarkEnd w:id="780"/>
      <w:bookmarkEnd w:id="781"/>
      <w:bookmarkEnd w:id="78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83" w:name="_Toc4055384"/>
      <w:bookmarkStart w:id="784" w:name="_Toc10526"/>
      <w:bookmarkStart w:id="785" w:name="_Toc4055919"/>
      <w:r>
        <w:rPr>
          <w:rFonts w:hint="eastAsia" w:ascii="宋体" w:hAnsi="宋体" w:eastAsia="宋体" w:cs="宋体"/>
          <w:sz w:val="22"/>
          <w:szCs w:val="32"/>
        </w:rPr>
        <w:t>1、单价合同。</w:t>
      </w:r>
      <w:bookmarkEnd w:id="783"/>
      <w:bookmarkEnd w:id="784"/>
      <w:bookmarkEnd w:id="78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786" w:name="_Toc4055385"/>
      <w:bookmarkStart w:id="787" w:name="_Toc2998"/>
      <w:bookmarkStart w:id="788" w:name="_Toc4055920"/>
      <w:r>
        <w:rPr>
          <w:rFonts w:hint="eastAsia" w:ascii="宋体" w:hAnsi="宋体" w:eastAsia="宋体" w:cs="宋体"/>
          <w:sz w:val="22"/>
          <w:szCs w:val="32"/>
        </w:rPr>
        <w:t>综合单价包含的风险范围：</w:t>
      </w:r>
      <w:bookmarkEnd w:id="786"/>
      <w:bookmarkEnd w:id="787"/>
      <w:bookmarkEnd w:id="788"/>
    </w:p>
    <w:p>
      <w:pPr>
        <w:keepNext w:val="0"/>
        <w:keepLines w:val="0"/>
        <w:numPr>
          <w:ilvl w:val="0"/>
          <w:numId w:val="5"/>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789" w:name="_Toc4055921"/>
      <w:bookmarkStart w:id="790" w:name="_Toc4055386"/>
      <w:bookmarkStart w:id="791" w:name="_Toc31180"/>
      <w:r>
        <w:rPr>
          <w:rFonts w:hint="eastAsia" w:ascii="宋体" w:hAnsi="宋体" w:eastAsia="宋体" w:cs="宋体"/>
          <w:sz w:val="22"/>
          <w:szCs w:val="32"/>
          <w:u w:val="single"/>
        </w:rPr>
        <w:t>技术和管理风险；</w:t>
      </w:r>
      <w:bookmarkEnd w:id="789"/>
      <w:bookmarkEnd w:id="790"/>
      <w:bookmarkEnd w:id="791"/>
    </w:p>
    <w:p>
      <w:pPr>
        <w:keepNext w:val="0"/>
        <w:keepLines w:val="0"/>
        <w:numPr>
          <w:ilvl w:val="0"/>
          <w:numId w:val="5"/>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792" w:name="_Toc4055387"/>
      <w:bookmarkStart w:id="793" w:name="_Toc4055922"/>
      <w:bookmarkStart w:id="794" w:name="_Toc19420"/>
      <w:r>
        <w:rPr>
          <w:rFonts w:hint="eastAsia" w:ascii="宋体" w:hAnsi="宋体" w:eastAsia="宋体" w:cs="宋体"/>
          <w:sz w:val="22"/>
          <w:szCs w:val="32"/>
          <w:u w:val="single"/>
        </w:rPr>
        <w:t>人工费、机械设备使用费价格上涨风险；</w:t>
      </w:r>
      <w:bookmarkEnd w:id="792"/>
      <w:bookmarkEnd w:id="793"/>
      <w:bookmarkEnd w:id="794"/>
    </w:p>
    <w:p>
      <w:pPr>
        <w:keepNext w:val="0"/>
        <w:keepLines w:val="0"/>
        <w:numPr>
          <w:ilvl w:val="0"/>
          <w:numId w:val="5"/>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795" w:name="_Toc4055923"/>
      <w:bookmarkStart w:id="796" w:name="_Toc9952"/>
      <w:bookmarkStart w:id="797" w:name="_Toc4055388"/>
      <w:r>
        <w:rPr>
          <w:rFonts w:hint="eastAsia" w:ascii="宋体" w:hAnsi="宋体" w:eastAsia="宋体" w:cs="宋体"/>
          <w:sz w:val="22"/>
          <w:szCs w:val="32"/>
          <w:u w:val="single"/>
        </w:rPr>
        <w:t>专用条款11.1规定材料调整范围以内的材料价格上涨风险。</w:t>
      </w:r>
      <w:bookmarkEnd w:id="795"/>
      <w:bookmarkEnd w:id="796"/>
      <w:bookmarkEnd w:id="797"/>
    </w:p>
    <w:p>
      <w:pPr>
        <w:keepNext w:val="0"/>
        <w:keepLines w:val="0"/>
        <w:numPr>
          <w:ilvl w:val="0"/>
          <w:numId w:val="5"/>
        </w:numPr>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798" w:name="_Toc4055389"/>
      <w:bookmarkStart w:id="799" w:name="_Toc4055924"/>
      <w:bookmarkStart w:id="800" w:name="_Toc28582"/>
      <w:r>
        <w:rPr>
          <w:rFonts w:hint="eastAsia" w:ascii="宋体" w:hAnsi="宋体" w:eastAsia="宋体" w:cs="宋体"/>
          <w:sz w:val="22"/>
          <w:szCs w:val="32"/>
          <w:u w:val="single"/>
        </w:rPr>
        <w:t>其他应包含在综合单价里的风险。</w:t>
      </w:r>
      <w:bookmarkEnd w:id="798"/>
      <w:bookmarkEnd w:id="799"/>
      <w:bookmarkEnd w:id="80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801" w:name="_Toc4055925"/>
      <w:bookmarkStart w:id="802" w:name="_Toc4055390"/>
      <w:bookmarkStart w:id="803" w:name="_Toc24462"/>
      <w:r>
        <w:rPr>
          <w:rFonts w:hint="eastAsia" w:ascii="宋体" w:hAnsi="宋体" w:eastAsia="宋体" w:cs="宋体"/>
          <w:sz w:val="22"/>
          <w:szCs w:val="32"/>
        </w:rPr>
        <w:t>风险费用的计算方法：</w:t>
      </w:r>
      <w:r>
        <w:rPr>
          <w:rFonts w:hint="eastAsia" w:ascii="宋体" w:hAnsi="宋体" w:eastAsia="宋体" w:cs="宋体"/>
          <w:sz w:val="22"/>
          <w:szCs w:val="32"/>
          <w:u w:val="single"/>
        </w:rPr>
        <w:t>在投标报价中考虑</w:t>
      </w:r>
      <w:r>
        <w:rPr>
          <w:rFonts w:hint="eastAsia" w:ascii="宋体" w:hAnsi="宋体" w:eastAsia="宋体" w:cs="宋体"/>
          <w:sz w:val="22"/>
          <w:szCs w:val="32"/>
        </w:rPr>
        <w:t>。</w:t>
      </w:r>
      <w:bookmarkEnd w:id="801"/>
      <w:bookmarkEnd w:id="802"/>
      <w:bookmarkEnd w:id="80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04" w:name="_Toc4055391"/>
      <w:bookmarkStart w:id="805" w:name="_Toc4055926"/>
      <w:bookmarkStart w:id="806" w:name="_Toc27162"/>
      <w:r>
        <w:rPr>
          <w:rFonts w:hint="eastAsia" w:ascii="宋体" w:hAnsi="宋体" w:eastAsia="宋体" w:cs="宋体"/>
          <w:sz w:val="22"/>
          <w:szCs w:val="32"/>
        </w:rPr>
        <w:t>风险范围以外合同价格的调整方法：</w:t>
      </w:r>
      <w:r>
        <w:rPr>
          <w:rFonts w:hint="eastAsia" w:ascii="宋体" w:hAnsi="宋体" w:eastAsia="宋体" w:cs="宋体"/>
          <w:sz w:val="22"/>
          <w:szCs w:val="32"/>
          <w:u w:val="single"/>
        </w:rPr>
        <w:t>（1）、在工程施工过程中除经发包人认可的设计变更、现场签证及合同中明确的可调整工程造价事项外，其余不得变动。（2）、施工过程中因设计变更、现场签证而引起费用增减的计算办法：内容经发包人现场代表和监理工程师核准确认，工程量根据设计变更单或现场签证单按实计算，其价格执行10.4.1变更估价原则；（3）、发包人材料暂估单价调整：认定的价格与合同中暂估价的差价部分，该部分差价计入税前造价。</w:t>
      </w:r>
      <w:bookmarkEnd w:id="804"/>
      <w:bookmarkEnd w:id="805"/>
      <w:bookmarkEnd w:id="80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807" w:name="_Toc4055392"/>
      <w:bookmarkStart w:id="808" w:name="_Toc20699"/>
      <w:bookmarkStart w:id="809" w:name="_Toc4055927"/>
      <w:r>
        <w:rPr>
          <w:rFonts w:hint="eastAsia" w:ascii="宋体" w:hAnsi="宋体" w:eastAsia="宋体" w:cs="宋体"/>
          <w:sz w:val="22"/>
          <w:szCs w:val="32"/>
        </w:rPr>
        <w:t>总价包含的风险范围：</w:t>
      </w:r>
      <w:bookmarkStart w:id="810" w:name="OLE_LINK2"/>
      <w:bookmarkEnd w:id="810"/>
      <w:r>
        <w:rPr>
          <w:rFonts w:hint="eastAsia" w:ascii="宋体" w:hAnsi="宋体" w:eastAsia="宋体" w:cs="宋体"/>
          <w:b/>
          <w:bCs/>
          <w:sz w:val="22"/>
          <w:szCs w:val="32"/>
          <w:u w:val="single"/>
        </w:rPr>
        <w:t xml:space="preserve">/ </w:t>
      </w:r>
      <w:r>
        <w:rPr>
          <w:rFonts w:hint="eastAsia" w:ascii="宋体" w:hAnsi="宋体" w:eastAsia="宋体" w:cs="宋体"/>
          <w:b/>
          <w:bCs/>
          <w:sz w:val="22"/>
          <w:szCs w:val="32"/>
        </w:rPr>
        <w:t>。</w:t>
      </w:r>
      <w:bookmarkEnd w:id="807"/>
      <w:bookmarkEnd w:id="808"/>
      <w:bookmarkEnd w:id="80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811" w:name="_Toc4055393"/>
      <w:bookmarkStart w:id="812" w:name="_Toc2521"/>
      <w:bookmarkStart w:id="813" w:name="_Toc4055928"/>
      <w:r>
        <w:rPr>
          <w:rFonts w:hint="eastAsia" w:ascii="宋体" w:hAnsi="宋体" w:eastAsia="宋体" w:cs="宋体"/>
          <w:sz w:val="22"/>
          <w:szCs w:val="32"/>
        </w:rPr>
        <w:t>风险费用的计算方法：</w:t>
      </w:r>
      <w:r>
        <w:rPr>
          <w:rFonts w:hint="eastAsia" w:ascii="宋体" w:hAnsi="宋体" w:eastAsia="宋体" w:cs="宋体"/>
          <w:b/>
          <w:bCs/>
          <w:sz w:val="22"/>
          <w:szCs w:val="32"/>
          <w:u w:val="single"/>
        </w:rPr>
        <w:t xml:space="preserve">/ </w:t>
      </w:r>
      <w:r>
        <w:rPr>
          <w:rFonts w:hint="eastAsia" w:ascii="宋体" w:hAnsi="宋体" w:eastAsia="宋体" w:cs="宋体"/>
          <w:b/>
          <w:bCs/>
          <w:sz w:val="22"/>
          <w:szCs w:val="32"/>
        </w:rPr>
        <w:t>。</w:t>
      </w:r>
      <w:bookmarkEnd w:id="811"/>
      <w:bookmarkEnd w:id="812"/>
      <w:bookmarkEnd w:id="81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14" w:name="_Toc21967"/>
      <w:bookmarkStart w:id="815" w:name="_Toc4055394"/>
      <w:bookmarkStart w:id="816" w:name="_Toc4055929"/>
      <w:r>
        <w:rPr>
          <w:rFonts w:hint="eastAsia" w:ascii="宋体" w:hAnsi="宋体" w:eastAsia="宋体" w:cs="宋体"/>
          <w:sz w:val="22"/>
          <w:szCs w:val="32"/>
        </w:rPr>
        <w:t>风险范围以外合同价格的调整方法：</w:t>
      </w:r>
      <w:r>
        <w:rPr>
          <w:rFonts w:hint="eastAsia" w:ascii="宋体" w:hAnsi="宋体" w:eastAsia="宋体" w:cs="宋体"/>
          <w:b/>
          <w:bCs/>
          <w:sz w:val="22"/>
          <w:szCs w:val="32"/>
          <w:u w:val="single"/>
        </w:rPr>
        <w:t xml:space="preserve">/ </w:t>
      </w:r>
      <w:r>
        <w:rPr>
          <w:rFonts w:hint="eastAsia" w:ascii="宋体" w:hAnsi="宋体" w:eastAsia="宋体" w:cs="宋体"/>
          <w:b/>
          <w:bCs/>
          <w:sz w:val="22"/>
          <w:szCs w:val="32"/>
        </w:rPr>
        <w:t>。</w:t>
      </w:r>
      <w:bookmarkEnd w:id="814"/>
      <w:bookmarkEnd w:id="815"/>
      <w:bookmarkEnd w:id="81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817" w:name="_Toc4365"/>
      <w:bookmarkStart w:id="818" w:name="_Toc4055930"/>
      <w:bookmarkStart w:id="819" w:name="_Toc4055395"/>
      <w:r>
        <w:rPr>
          <w:rFonts w:hint="eastAsia" w:ascii="宋体" w:hAnsi="宋体" w:eastAsia="宋体" w:cs="宋体"/>
          <w:sz w:val="22"/>
          <w:szCs w:val="32"/>
        </w:rPr>
        <w:t>3、其他价格方式：</w:t>
      </w:r>
      <w:r>
        <w:rPr>
          <w:rFonts w:hint="eastAsia" w:ascii="宋体" w:hAnsi="宋体" w:eastAsia="宋体" w:cs="宋体"/>
          <w:b/>
          <w:bCs/>
          <w:sz w:val="22"/>
          <w:szCs w:val="32"/>
          <w:u w:val="single"/>
        </w:rPr>
        <w:t xml:space="preserve">/ </w:t>
      </w:r>
      <w:r>
        <w:rPr>
          <w:rFonts w:hint="eastAsia" w:ascii="宋体" w:hAnsi="宋体" w:eastAsia="宋体" w:cs="宋体"/>
          <w:b/>
          <w:bCs/>
          <w:sz w:val="22"/>
          <w:szCs w:val="32"/>
        </w:rPr>
        <w:t>。</w:t>
      </w:r>
      <w:bookmarkEnd w:id="817"/>
      <w:bookmarkEnd w:id="818"/>
      <w:bookmarkEnd w:id="81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20" w:name="_Toc4055396"/>
      <w:bookmarkStart w:id="821" w:name="_Toc13861"/>
      <w:bookmarkStart w:id="822" w:name="_Toc4055931"/>
      <w:r>
        <w:rPr>
          <w:rFonts w:hint="eastAsia" w:ascii="宋体" w:hAnsi="宋体" w:eastAsia="宋体" w:cs="宋体"/>
          <w:sz w:val="22"/>
          <w:szCs w:val="32"/>
        </w:rPr>
        <w:t>1.2 预付款</w:t>
      </w:r>
      <w:bookmarkEnd w:id="820"/>
      <w:bookmarkEnd w:id="821"/>
      <w:bookmarkEnd w:id="82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23" w:name="_Toc4055932"/>
      <w:bookmarkStart w:id="824" w:name="_Toc26070"/>
      <w:bookmarkStart w:id="825" w:name="_Toc4055397"/>
      <w:r>
        <w:rPr>
          <w:rFonts w:hint="eastAsia" w:ascii="宋体" w:hAnsi="宋体" w:eastAsia="宋体" w:cs="宋体"/>
          <w:sz w:val="22"/>
          <w:szCs w:val="32"/>
        </w:rPr>
        <w:t>12.2.1 预付款的支付</w:t>
      </w:r>
      <w:bookmarkEnd w:id="823"/>
      <w:bookmarkEnd w:id="824"/>
      <w:bookmarkEnd w:id="82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26" w:name="_Toc4055398"/>
      <w:bookmarkStart w:id="827" w:name="_Toc20358"/>
      <w:bookmarkStart w:id="828" w:name="_Toc4055933"/>
      <w:r>
        <w:rPr>
          <w:rFonts w:hint="eastAsia" w:ascii="宋体" w:hAnsi="宋体" w:eastAsia="宋体" w:cs="宋体"/>
          <w:sz w:val="22"/>
          <w:szCs w:val="32"/>
        </w:rPr>
        <w:t>预付款支付比例或金额：</w:t>
      </w:r>
      <w:r>
        <w:rPr>
          <w:rFonts w:hint="eastAsia" w:ascii="宋体" w:hAnsi="宋体" w:eastAsia="宋体" w:cs="宋体"/>
          <w:sz w:val="22"/>
          <w:szCs w:val="32"/>
          <w:u w:val="single"/>
        </w:rPr>
        <w:t xml:space="preserve">无 </w:t>
      </w:r>
      <w:r>
        <w:rPr>
          <w:rFonts w:hint="eastAsia" w:ascii="宋体" w:hAnsi="宋体" w:eastAsia="宋体" w:cs="宋体"/>
          <w:sz w:val="22"/>
          <w:szCs w:val="32"/>
        </w:rPr>
        <w:t>。</w:t>
      </w:r>
      <w:bookmarkEnd w:id="826"/>
      <w:bookmarkEnd w:id="827"/>
      <w:bookmarkEnd w:id="82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29" w:name="_Toc4055399"/>
      <w:bookmarkStart w:id="830" w:name="_Toc26397"/>
      <w:bookmarkStart w:id="831" w:name="_Toc4055934"/>
      <w:r>
        <w:rPr>
          <w:rFonts w:hint="eastAsia" w:ascii="宋体" w:hAnsi="宋体" w:eastAsia="宋体" w:cs="宋体"/>
          <w:sz w:val="22"/>
          <w:szCs w:val="32"/>
        </w:rPr>
        <w:t>预付款支付期限：</w:t>
      </w:r>
      <w:r>
        <w:rPr>
          <w:rFonts w:hint="eastAsia" w:ascii="宋体" w:hAnsi="宋体" w:eastAsia="宋体" w:cs="宋体"/>
          <w:sz w:val="22"/>
          <w:szCs w:val="32"/>
          <w:u w:val="single"/>
        </w:rPr>
        <w:t>无</w:t>
      </w:r>
      <w:r>
        <w:rPr>
          <w:rFonts w:hint="eastAsia" w:ascii="宋体" w:hAnsi="宋体" w:eastAsia="宋体" w:cs="宋体"/>
          <w:sz w:val="22"/>
          <w:szCs w:val="32"/>
        </w:rPr>
        <w:t>。</w:t>
      </w:r>
      <w:bookmarkEnd w:id="829"/>
      <w:bookmarkEnd w:id="830"/>
      <w:bookmarkEnd w:id="83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32" w:name="_Toc4055400"/>
      <w:bookmarkStart w:id="833" w:name="_Toc4055935"/>
      <w:bookmarkStart w:id="834" w:name="_Toc9619"/>
      <w:r>
        <w:rPr>
          <w:rFonts w:hint="eastAsia" w:ascii="宋体" w:hAnsi="宋体" w:eastAsia="宋体" w:cs="宋体"/>
          <w:sz w:val="22"/>
          <w:szCs w:val="32"/>
        </w:rPr>
        <w:t>预付款扣回的方式：</w:t>
      </w:r>
      <w:r>
        <w:rPr>
          <w:rFonts w:hint="eastAsia" w:ascii="宋体" w:hAnsi="宋体" w:eastAsia="宋体" w:cs="宋体"/>
          <w:sz w:val="22"/>
          <w:szCs w:val="32"/>
          <w:u w:val="single"/>
        </w:rPr>
        <w:t>无。</w:t>
      </w:r>
      <w:bookmarkEnd w:id="832"/>
      <w:bookmarkEnd w:id="833"/>
      <w:bookmarkEnd w:id="83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35" w:name="_Toc4337"/>
      <w:bookmarkStart w:id="836" w:name="_Toc4055936"/>
      <w:bookmarkStart w:id="837" w:name="_Toc4055401"/>
      <w:r>
        <w:rPr>
          <w:rFonts w:hint="eastAsia" w:ascii="宋体" w:hAnsi="宋体" w:eastAsia="宋体" w:cs="宋体"/>
          <w:sz w:val="22"/>
          <w:szCs w:val="32"/>
        </w:rPr>
        <w:t>12.2.2 预付款担保</w:t>
      </w:r>
      <w:bookmarkEnd w:id="835"/>
      <w:bookmarkEnd w:id="836"/>
      <w:bookmarkEnd w:id="83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38" w:name="_Toc4055937"/>
      <w:bookmarkStart w:id="839" w:name="_Toc30537"/>
      <w:bookmarkStart w:id="840" w:name="_Toc4055402"/>
      <w:r>
        <w:rPr>
          <w:rFonts w:hint="eastAsia" w:ascii="宋体" w:hAnsi="宋体" w:eastAsia="宋体" w:cs="宋体"/>
          <w:sz w:val="22"/>
          <w:szCs w:val="32"/>
        </w:rPr>
        <w:t>承包人提交预付款担保的期限：</w:t>
      </w:r>
      <w:r>
        <w:rPr>
          <w:rFonts w:hint="eastAsia" w:ascii="宋体" w:hAnsi="宋体" w:eastAsia="宋体" w:cs="宋体"/>
          <w:sz w:val="22"/>
          <w:szCs w:val="32"/>
          <w:u w:val="single"/>
        </w:rPr>
        <w:t>无</w:t>
      </w:r>
      <w:r>
        <w:rPr>
          <w:rFonts w:hint="eastAsia" w:ascii="宋体" w:hAnsi="宋体" w:eastAsia="宋体" w:cs="宋体"/>
          <w:sz w:val="22"/>
          <w:szCs w:val="32"/>
        </w:rPr>
        <w:t>。</w:t>
      </w:r>
      <w:bookmarkEnd w:id="838"/>
      <w:bookmarkEnd w:id="839"/>
      <w:bookmarkEnd w:id="84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41" w:name="_Toc4055403"/>
      <w:bookmarkStart w:id="842" w:name="_Toc4055938"/>
      <w:bookmarkStart w:id="843" w:name="_Toc13529"/>
      <w:r>
        <w:rPr>
          <w:rFonts w:hint="eastAsia" w:ascii="宋体" w:hAnsi="宋体" w:eastAsia="宋体" w:cs="宋体"/>
          <w:sz w:val="22"/>
          <w:szCs w:val="32"/>
        </w:rPr>
        <w:t>预付款担保的形式为：</w:t>
      </w:r>
      <w:r>
        <w:rPr>
          <w:rFonts w:hint="eastAsia" w:ascii="宋体" w:hAnsi="宋体" w:eastAsia="宋体" w:cs="宋体"/>
          <w:sz w:val="22"/>
          <w:szCs w:val="32"/>
          <w:u w:val="single"/>
        </w:rPr>
        <w:t>无</w:t>
      </w:r>
      <w:r>
        <w:rPr>
          <w:rFonts w:hint="eastAsia" w:ascii="宋体" w:hAnsi="宋体" w:eastAsia="宋体" w:cs="宋体"/>
          <w:sz w:val="22"/>
          <w:szCs w:val="32"/>
        </w:rPr>
        <w:t>。</w:t>
      </w:r>
      <w:bookmarkEnd w:id="841"/>
      <w:bookmarkEnd w:id="842"/>
      <w:bookmarkEnd w:id="84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44" w:name="_Toc4055404"/>
      <w:bookmarkStart w:id="845" w:name="_Toc4055939"/>
      <w:bookmarkStart w:id="846" w:name="_Toc11401"/>
      <w:r>
        <w:rPr>
          <w:rFonts w:hint="eastAsia" w:ascii="宋体" w:hAnsi="宋体" w:eastAsia="宋体" w:cs="宋体"/>
          <w:sz w:val="22"/>
          <w:szCs w:val="32"/>
        </w:rPr>
        <w:t>12.3 计量</w:t>
      </w:r>
      <w:bookmarkEnd w:id="844"/>
      <w:bookmarkEnd w:id="845"/>
      <w:bookmarkEnd w:id="84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47" w:name="_Toc28107"/>
      <w:bookmarkStart w:id="848" w:name="_Toc4055405"/>
      <w:bookmarkStart w:id="849" w:name="_Toc4055940"/>
      <w:r>
        <w:rPr>
          <w:rFonts w:hint="eastAsia" w:ascii="宋体" w:hAnsi="宋体" w:eastAsia="宋体" w:cs="宋体"/>
          <w:sz w:val="22"/>
          <w:szCs w:val="32"/>
        </w:rPr>
        <w:t>12.3.1 计量原则</w:t>
      </w:r>
      <w:bookmarkEnd w:id="847"/>
      <w:bookmarkEnd w:id="848"/>
      <w:bookmarkEnd w:id="84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50" w:name="_Toc4055406"/>
      <w:bookmarkStart w:id="851" w:name="_Toc4055941"/>
      <w:bookmarkStart w:id="852" w:name="_Toc17601"/>
      <w:r>
        <w:rPr>
          <w:rFonts w:hint="eastAsia" w:ascii="宋体" w:hAnsi="宋体" w:eastAsia="宋体" w:cs="宋体"/>
          <w:sz w:val="22"/>
          <w:szCs w:val="32"/>
        </w:rPr>
        <w:t>工程量计算规则：</w:t>
      </w:r>
      <w:bookmarkEnd w:id="850"/>
      <w:bookmarkEnd w:id="851"/>
      <w:bookmarkEnd w:id="85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53" w:name="OLE_LINK4"/>
      <w:bookmarkEnd w:id="853"/>
      <w:bookmarkStart w:id="854" w:name="_Toc4055942"/>
      <w:bookmarkStart w:id="855" w:name="_Toc29850"/>
      <w:bookmarkStart w:id="856" w:name="_Toc4055407"/>
      <w:r>
        <w:rPr>
          <w:rFonts w:hint="eastAsia" w:ascii="宋体" w:hAnsi="宋体" w:eastAsia="宋体" w:cs="宋体"/>
          <w:sz w:val="22"/>
          <w:szCs w:val="32"/>
          <w:u w:val="single"/>
        </w:rPr>
        <w:t>《建设工程工程量清单计价规范》（GB 50500-2013）</w:t>
      </w:r>
      <w:r>
        <w:rPr>
          <w:rFonts w:hint="eastAsia" w:ascii="宋体" w:hAnsi="宋体" w:eastAsia="宋体" w:cs="宋体"/>
          <w:sz w:val="22"/>
          <w:szCs w:val="32"/>
        </w:rPr>
        <w:t>。</w:t>
      </w:r>
      <w:bookmarkEnd w:id="854"/>
      <w:bookmarkEnd w:id="855"/>
      <w:bookmarkEnd w:id="85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57" w:name="_Toc4055408"/>
      <w:bookmarkStart w:id="858" w:name="_Toc30736"/>
      <w:bookmarkStart w:id="859" w:name="_Toc4055943"/>
      <w:r>
        <w:rPr>
          <w:rFonts w:hint="eastAsia" w:ascii="宋体" w:hAnsi="宋体" w:eastAsia="宋体" w:cs="宋体"/>
          <w:sz w:val="22"/>
          <w:szCs w:val="32"/>
        </w:rPr>
        <w:t>12.3.2 计量周期</w:t>
      </w:r>
      <w:bookmarkEnd w:id="857"/>
      <w:bookmarkEnd w:id="858"/>
      <w:bookmarkEnd w:id="85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60" w:name="_Toc24860"/>
      <w:bookmarkStart w:id="861" w:name="_Toc4055409"/>
      <w:bookmarkStart w:id="862" w:name="_Toc4055944"/>
      <w:r>
        <w:rPr>
          <w:rFonts w:hint="eastAsia" w:ascii="宋体" w:hAnsi="宋体" w:eastAsia="宋体" w:cs="宋体"/>
          <w:sz w:val="22"/>
          <w:szCs w:val="32"/>
        </w:rPr>
        <w:t>关于计量周期的约定：</w:t>
      </w:r>
      <w:r>
        <w:rPr>
          <w:rFonts w:hint="eastAsia" w:ascii="宋体" w:hAnsi="宋体" w:eastAsia="宋体" w:cs="宋体"/>
          <w:sz w:val="22"/>
          <w:szCs w:val="32"/>
          <w:u w:val="single"/>
        </w:rPr>
        <w:t>执行通用合同条款12.3.2</w:t>
      </w:r>
      <w:r>
        <w:rPr>
          <w:rFonts w:hint="eastAsia" w:ascii="宋体" w:hAnsi="宋体" w:eastAsia="宋体" w:cs="宋体"/>
          <w:sz w:val="22"/>
          <w:szCs w:val="32"/>
        </w:rPr>
        <w:t>。</w:t>
      </w:r>
      <w:bookmarkEnd w:id="860"/>
      <w:bookmarkEnd w:id="861"/>
      <w:bookmarkEnd w:id="86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63" w:name="_Toc1628"/>
      <w:bookmarkStart w:id="864" w:name="_Toc4055945"/>
      <w:bookmarkStart w:id="865" w:name="_Toc4055410"/>
      <w:r>
        <w:rPr>
          <w:rFonts w:hint="eastAsia" w:ascii="宋体" w:hAnsi="宋体" w:eastAsia="宋体" w:cs="宋体"/>
          <w:sz w:val="22"/>
          <w:szCs w:val="32"/>
        </w:rPr>
        <w:t>12.3.3 单价合同的计量</w:t>
      </w:r>
      <w:bookmarkEnd w:id="863"/>
      <w:bookmarkEnd w:id="864"/>
      <w:bookmarkEnd w:id="86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66" w:name="_Toc4055946"/>
      <w:bookmarkStart w:id="867" w:name="_Toc4055411"/>
      <w:bookmarkStart w:id="868" w:name="_Toc1379"/>
      <w:r>
        <w:rPr>
          <w:rFonts w:hint="eastAsia" w:ascii="宋体" w:hAnsi="宋体" w:eastAsia="宋体" w:cs="宋体"/>
          <w:sz w:val="22"/>
          <w:szCs w:val="32"/>
        </w:rPr>
        <w:t>关于单价合同计量的约定：</w:t>
      </w:r>
      <w:r>
        <w:rPr>
          <w:rFonts w:hint="eastAsia" w:ascii="宋体" w:hAnsi="宋体" w:eastAsia="宋体" w:cs="宋体"/>
          <w:sz w:val="22"/>
          <w:szCs w:val="32"/>
          <w:u w:val="single"/>
        </w:rPr>
        <w:t>执行通用合同条款12.3.3及发包人有关进度支付的规定</w:t>
      </w:r>
      <w:r>
        <w:rPr>
          <w:rFonts w:hint="eastAsia" w:ascii="宋体" w:hAnsi="宋体" w:eastAsia="宋体" w:cs="宋体"/>
          <w:sz w:val="22"/>
          <w:szCs w:val="32"/>
        </w:rPr>
        <w:t>。</w:t>
      </w:r>
      <w:bookmarkEnd w:id="866"/>
      <w:bookmarkEnd w:id="867"/>
      <w:bookmarkEnd w:id="86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69" w:name="_Toc19497"/>
      <w:bookmarkStart w:id="870" w:name="_Toc4055947"/>
      <w:bookmarkStart w:id="871" w:name="_Toc4055412"/>
      <w:r>
        <w:rPr>
          <w:rFonts w:hint="eastAsia" w:ascii="宋体" w:hAnsi="宋体" w:eastAsia="宋体" w:cs="宋体"/>
          <w:sz w:val="22"/>
          <w:szCs w:val="32"/>
        </w:rPr>
        <w:t>12.3.4 总价合同的计量</w:t>
      </w:r>
      <w:bookmarkEnd w:id="869"/>
      <w:bookmarkEnd w:id="870"/>
      <w:bookmarkEnd w:id="87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72" w:name="_Toc15280"/>
      <w:bookmarkStart w:id="873" w:name="_Toc4055948"/>
      <w:bookmarkStart w:id="874" w:name="_Toc4055413"/>
      <w:r>
        <w:rPr>
          <w:rFonts w:hint="eastAsia" w:ascii="宋体" w:hAnsi="宋体" w:eastAsia="宋体" w:cs="宋体"/>
          <w:sz w:val="22"/>
          <w:szCs w:val="32"/>
        </w:rPr>
        <w:t>关于总价合同计量的约定：</w:t>
      </w:r>
      <w:r>
        <w:rPr>
          <w:rFonts w:hint="eastAsia" w:ascii="宋体" w:hAnsi="宋体" w:eastAsia="宋体" w:cs="宋体"/>
          <w:sz w:val="22"/>
          <w:szCs w:val="32"/>
          <w:u w:val="single"/>
        </w:rPr>
        <w:t>/</w:t>
      </w:r>
      <w:r>
        <w:rPr>
          <w:rFonts w:hint="eastAsia" w:ascii="宋体" w:hAnsi="宋体" w:eastAsia="宋体" w:cs="宋体"/>
          <w:sz w:val="22"/>
          <w:szCs w:val="32"/>
        </w:rPr>
        <w:t>。</w:t>
      </w:r>
      <w:bookmarkEnd w:id="872"/>
      <w:bookmarkEnd w:id="873"/>
      <w:bookmarkEnd w:id="87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75" w:name="_Toc4055414"/>
      <w:bookmarkStart w:id="876" w:name="_Toc13121"/>
      <w:bookmarkStart w:id="877" w:name="_Toc4055949"/>
      <w:r>
        <w:rPr>
          <w:rFonts w:hint="eastAsia" w:ascii="宋体" w:hAnsi="宋体" w:eastAsia="宋体" w:cs="宋体"/>
          <w:sz w:val="22"/>
          <w:szCs w:val="32"/>
        </w:rPr>
        <w:t>12.3.5总价合同采用支付分解表计量支付的，是否适用第12.3.4 项〔总价合同的计量〕约定进行计量：</w:t>
      </w:r>
      <w:r>
        <w:rPr>
          <w:rFonts w:hint="eastAsia" w:ascii="宋体" w:hAnsi="宋体" w:eastAsia="宋体" w:cs="宋体"/>
          <w:sz w:val="22"/>
          <w:szCs w:val="32"/>
          <w:u w:val="single"/>
        </w:rPr>
        <w:t>/</w:t>
      </w:r>
      <w:r>
        <w:rPr>
          <w:rFonts w:hint="eastAsia" w:ascii="宋体" w:hAnsi="宋体" w:eastAsia="宋体" w:cs="宋体"/>
          <w:sz w:val="22"/>
          <w:szCs w:val="32"/>
        </w:rPr>
        <w:t>。</w:t>
      </w:r>
      <w:bookmarkEnd w:id="875"/>
      <w:bookmarkEnd w:id="876"/>
      <w:bookmarkEnd w:id="87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78" w:name="_Toc4055415"/>
      <w:bookmarkStart w:id="879" w:name="_Toc4055950"/>
      <w:bookmarkStart w:id="880" w:name="_Toc1292"/>
      <w:r>
        <w:rPr>
          <w:rFonts w:hint="eastAsia" w:ascii="宋体" w:hAnsi="宋体" w:eastAsia="宋体" w:cs="宋体"/>
          <w:sz w:val="22"/>
          <w:szCs w:val="32"/>
        </w:rPr>
        <w:t>12.3.6 其他价格形式合同的计量</w:t>
      </w:r>
      <w:bookmarkEnd w:id="878"/>
      <w:bookmarkEnd w:id="879"/>
      <w:bookmarkEnd w:id="88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881" w:name="_Toc4055951"/>
      <w:bookmarkStart w:id="882" w:name="_Toc4055416"/>
      <w:bookmarkStart w:id="883" w:name="_Toc1378"/>
      <w:r>
        <w:rPr>
          <w:rFonts w:hint="eastAsia" w:ascii="宋体" w:hAnsi="宋体" w:eastAsia="宋体" w:cs="宋体"/>
          <w:sz w:val="22"/>
          <w:szCs w:val="32"/>
        </w:rPr>
        <w:t>其他价格形式的计量方式和程序：</w:t>
      </w:r>
      <w:r>
        <w:rPr>
          <w:rFonts w:hint="eastAsia" w:ascii="宋体" w:hAnsi="宋体" w:eastAsia="宋体" w:cs="宋体"/>
          <w:sz w:val="22"/>
          <w:szCs w:val="32"/>
          <w:u w:val="single"/>
        </w:rPr>
        <w:t>/</w:t>
      </w:r>
      <w:r>
        <w:rPr>
          <w:rFonts w:hint="eastAsia" w:ascii="宋体" w:hAnsi="宋体" w:eastAsia="宋体" w:cs="宋体"/>
          <w:sz w:val="22"/>
          <w:szCs w:val="32"/>
        </w:rPr>
        <w:t>。</w:t>
      </w:r>
      <w:bookmarkEnd w:id="881"/>
      <w:bookmarkEnd w:id="882"/>
      <w:bookmarkEnd w:id="88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84" w:name="_Toc1456"/>
      <w:bookmarkStart w:id="885" w:name="_Toc4055952"/>
      <w:bookmarkStart w:id="886" w:name="_Toc4055417"/>
      <w:r>
        <w:rPr>
          <w:rFonts w:hint="eastAsia" w:ascii="宋体" w:hAnsi="宋体" w:eastAsia="宋体" w:cs="宋体"/>
          <w:sz w:val="22"/>
          <w:szCs w:val="32"/>
        </w:rPr>
        <w:t>12.4 工程进度款支付</w:t>
      </w:r>
      <w:bookmarkEnd w:id="884"/>
      <w:bookmarkEnd w:id="885"/>
      <w:bookmarkEnd w:id="88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87" w:name="_Toc4055953"/>
      <w:bookmarkStart w:id="888" w:name="_Toc6537"/>
      <w:bookmarkStart w:id="889" w:name="_Toc4055418"/>
      <w:r>
        <w:rPr>
          <w:rFonts w:hint="eastAsia" w:ascii="宋体" w:hAnsi="宋体" w:eastAsia="宋体" w:cs="宋体"/>
          <w:sz w:val="22"/>
          <w:szCs w:val="32"/>
        </w:rPr>
        <w:t>12.4.1 付款周期</w:t>
      </w:r>
      <w:bookmarkEnd w:id="887"/>
      <w:bookmarkEnd w:id="888"/>
      <w:bookmarkEnd w:id="88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90" w:name="_Toc4055954"/>
      <w:bookmarkStart w:id="891" w:name="_Toc5536"/>
      <w:bookmarkStart w:id="892" w:name="_Toc4055419"/>
      <w:r>
        <w:rPr>
          <w:rFonts w:hint="eastAsia" w:ascii="宋体" w:hAnsi="宋体" w:eastAsia="宋体" w:cs="宋体"/>
          <w:sz w:val="22"/>
          <w:szCs w:val="32"/>
        </w:rPr>
        <w:t>关于付款周期的约定：</w:t>
      </w:r>
      <w:r>
        <w:rPr>
          <w:rFonts w:hint="eastAsia" w:ascii="宋体" w:hAnsi="宋体" w:eastAsia="宋体" w:cs="宋体"/>
          <w:b/>
          <w:bCs/>
          <w:sz w:val="22"/>
          <w:szCs w:val="32"/>
          <w:u w:val="single"/>
        </w:rPr>
        <w:t>双方另行约定付款。</w:t>
      </w:r>
      <w:bookmarkEnd w:id="890"/>
      <w:bookmarkEnd w:id="891"/>
      <w:bookmarkEnd w:id="89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93" w:name="_Toc4055955"/>
      <w:bookmarkStart w:id="894" w:name="_Toc22694"/>
      <w:bookmarkStart w:id="895" w:name="_Toc4055420"/>
      <w:r>
        <w:rPr>
          <w:rFonts w:hint="eastAsia" w:ascii="宋体" w:hAnsi="宋体" w:eastAsia="宋体" w:cs="宋体"/>
          <w:sz w:val="22"/>
          <w:szCs w:val="32"/>
        </w:rPr>
        <w:t>12.4.2 进度付款申请单的编制</w:t>
      </w:r>
      <w:bookmarkEnd w:id="893"/>
      <w:bookmarkEnd w:id="894"/>
      <w:bookmarkEnd w:id="895"/>
      <w:r>
        <w:rPr>
          <w:rFonts w:hint="eastAsia" w:ascii="宋体" w:hAnsi="宋体" w:eastAsia="宋体" w:cs="宋体"/>
          <w:sz w:val="22"/>
          <w:szCs w:val="32"/>
        </w:rPr>
        <w:t xml:space="preserve"> </w:t>
      </w:r>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896" w:name="_Toc3875"/>
      <w:bookmarkStart w:id="897" w:name="_Toc4055956"/>
      <w:bookmarkStart w:id="898" w:name="_Toc4055421"/>
      <w:r>
        <w:rPr>
          <w:rFonts w:hint="eastAsia" w:ascii="宋体" w:hAnsi="宋体" w:eastAsia="宋体" w:cs="宋体"/>
          <w:sz w:val="22"/>
          <w:szCs w:val="32"/>
        </w:rPr>
        <w:t>关于进度付款申请单编制的约定：</w:t>
      </w:r>
      <w:r>
        <w:rPr>
          <w:rFonts w:hint="eastAsia" w:ascii="宋体" w:hAnsi="宋体" w:eastAsia="宋体" w:cs="宋体"/>
          <w:sz w:val="22"/>
          <w:szCs w:val="32"/>
          <w:u w:val="single"/>
        </w:rPr>
        <w:t>/。</w:t>
      </w:r>
      <w:bookmarkEnd w:id="896"/>
      <w:bookmarkEnd w:id="897"/>
      <w:bookmarkEnd w:id="89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899" w:name="_Toc4055957"/>
      <w:bookmarkStart w:id="900" w:name="_Toc15532"/>
      <w:bookmarkStart w:id="901" w:name="_Toc4055422"/>
      <w:r>
        <w:rPr>
          <w:rFonts w:hint="eastAsia" w:ascii="宋体" w:hAnsi="宋体" w:eastAsia="宋体" w:cs="宋体"/>
          <w:sz w:val="22"/>
          <w:szCs w:val="32"/>
        </w:rPr>
        <w:t>12.4.3 进度付款申请单的提交</w:t>
      </w:r>
      <w:bookmarkEnd w:id="899"/>
      <w:bookmarkEnd w:id="900"/>
      <w:bookmarkEnd w:id="90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02" w:name="_Toc4055958"/>
      <w:bookmarkStart w:id="903" w:name="_Toc4611"/>
      <w:bookmarkStart w:id="904" w:name="_Toc4055423"/>
      <w:r>
        <w:rPr>
          <w:rFonts w:hint="eastAsia" w:ascii="宋体" w:hAnsi="宋体" w:eastAsia="宋体" w:cs="宋体"/>
          <w:sz w:val="22"/>
          <w:szCs w:val="32"/>
        </w:rPr>
        <w:t>（1）单价合同进度付款申请单提交的约定：</w:t>
      </w:r>
      <w:r>
        <w:rPr>
          <w:rFonts w:hint="eastAsia" w:ascii="宋体" w:hAnsi="宋体" w:eastAsia="宋体" w:cs="宋体"/>
          <w:sz w:val="22"/>
          <w:szCs w:val="32"/>
          <w:u w:val="single"/>
        </w:rPr>
        <w:t>/</w:t>
      </w:r>
      <w:r>
        <w:rPr>
          <w:rFonts w:hint="eastAsia" w:ascii="宋体" w:hAnsi="宋体" w:eastAsia="宋体" w:cs="宋体"/>
          <w:sz w:val="22"/>
          <w:szCs w:val="32"/>
        </w:rPr>
        <w:t>。</w:t>
      </w:r>
      <w:bookmarkEnd w:id="902"/>
      <w:bookmarkEnd w:id="903"/>
      <w:bookmarkEnd w:id="90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05" w:name="_Toc4055424"/>
      <w:bookmarkStart w:id="906" w:name="_Toc17753"/>
      <w:bookmarkStart w:id="907" w:name="_Toc4055959"/>
      <w:r>
        <w:rPr>
          <w:rFonts w:hint="eastAsia" w:ascii="宋体" w:hAnsi="宋体" w:eastAsia="宋体" w:cs="宋体"/>
          <w:sz w:val="22"/>
          <w:szCs w:val="32"/>
        </w:rPr>
        <w:t>（2）总价合同进度付款申请单提交的约定：</w:t>
      </w:r>
      <w:r>
        <w:rPr>
          <w:rFonts w:hint="eastAsia" w:ascii="宋体" w:hAnsi="宋体" w:eastAsia="宋体" w:cs="宋体"/>
          <w:sz w:val="22"/>
          <w:szCs w:val="32"/>
          <w:u w:val="single"/>
        </w:rPr>
        <w:t>/</w:t>
      </w:r>
      <w:r>
        <w:rPr>
          <w:rFonts w:hint="eastAsia" w:ascii="宋体" w:hAnsi="宋体" w:eastAsia="宋体" w:cs="宋体"/>
          <w:sz w:val="22"/>
          <w:szCs w:val="32"/>
        </w:rPr>
        <w:t>。</w:t>
      </w:r>
      <w:bookmarkEnd w:id="905"/>
      <w:bookmarkEnd w:id="906"/>
      <w:bookmarkEnd w:id="90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908" w:name="_Toc27060"/>
      <w:bookmarkStart w:id="909" w:name="_Toc4055425"/>
      <w:bookmarkStart w:id="910" w:name="_Toc4055960"/>
      <w:r>
        <w:rPr>
          <w:rFonts w:hint="eastAsia" w:ascii="宋体" w:hAnsi="宋体" w:eastAsia="宋体" w:cs="宋体"/>
          <w:sz w:val="22"/>
          <w:szCs w:val="32"/>
        </w:rPr>
        <w:t>（3）其他价格形式合同进度付款申请单提交的约定：</w:t>
      </w:r>
      <w:r>
        <w:rPr>
          <w:rFonts w:hint="eastAsia" w:ascii="宋体" w:hAnsi="宋体" w:eastAsia="宋体" w:cs="宋体"/>
          <w:sz w:val="22"/>
          <w:szCs w:val="32"/>
          <w:u w:val="single"/>
        </w:rPr>
        <w:t>/</w:t>
      </w:r>
      <w:r>
        <w:rPr>
          <w:rFonts w:hint="eastAsia" w:ascii="宋体" w:hAnsi="宋体" w:eastAsia="宋体" w:cs="宋体"/>
          <w:sz w:val="22"/>
          <w:szCs w:val="32"/>
        </w:rPr>
        <w:t>。</w:t>
      </w:r>
      <w:bookmarkEnd w:id="908"/>
      <w:bookmarkEnd w:id="909"/>
      <w:bookmarkEnd w:id="91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11" w:name="_Toc4055961"/>
      <w:bookmarkStart w:id="912" w:name="_Toc30777"/>
      <w:bookmarkStart w:id="913" w:name="_Toc4055426"/>
      <w:r>
        <w:rPr>
          <w:rFonts w:hint="eastAsia" w:ascii="宋体" w:hAnsi="宋体" w:eastAsia="宋体" w:cs="宋体"/>
          <w:sz w:val="22"/>
          <w:szCs w:val="32"/>
        </w:rPr>
        <w:t>12.4.4 进度款审核和支付</w:t>
      </w:r>
      <w:bookmarkEnd w:id="911"/>
      <w:bookmarkEnd w:id="912"/>
      <w:bookmarkEnd w:id="91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914" w:name="_Toc30168"/>
      <w:bookmarkStart w:id="915" w:name="_Toc4055427"/>
      <w:bookmarkStart w:id="916" w:name="_Toc4055962"/>
      <w:r>
        <w:rPr>
          <w:rFonts w:hint="eastAsia" w:ascii="宋体" w:hAnsi="宋体" w:eastAsia="宋体" w:cs="宋体"/>
          <w:sz w:val="22"/>
          <w:szCs w:val="32"/>
        </w:rPr>
        <w:t>（1）监理人审查并报送发包人的期限：</w:t>
      </w:r>
      <w:r>
        <w:rPr>
          <w:rFonts w:hint="eastAsia" w:ascii="宋体" w:hAnsi="宋体" w:eastAsia="宋体" w:cs="宋体"/>
          <w:sz w:val="22"/>
          <w:szCs w:val="32"/>
          <w:u w:val="single"/>
        </w:rPr>
        <w:t>收到申请7天内</w:t>
      </w:r>
      <w:r>
        <w:rPr>
          <w:rFonts w:hint="eastAsia" w:ascii="宋体" w:hAnsi="宋体" w:eastAsia="宋体" w:cs="宋体"/>
          <w:sz w:val="22"/>
          <w:szCs w:val="32"/>
        </w:rPr>
        <w:t>。</w:t>
      </w:r>
      <w:bookmarkEnd w:id="914"/>
      <w:bookmarkEnd w:id="915"/>
      <w:bookmarkEnd w:id="91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917" w:name="_Toc4055963"/>
      <w:bookmarkStart w:id="918" w:name="_Toc4055428"/>
      <w:bookmarkStart w:id="919" w:name="_Toc28069"/>
      <w:r>
        <w:rPr>
          <w:rFonts w:hint="eastAsia" w:ascii="宋体" w:hAnsi="宋体" w:eastAsia="宋体" w:cs="宋体"/>
          <w:sz w:val="22"/>
          <w:szCs w:val="32"/>
          <w:u w:val="single"/>
        </w:rPr>
        <w:t>发包人完成审批并签发进度款支付证书的期限：收到监理人报审资料14天内</w:t>
      </w:r>
      <w:r>
        <w:rPr>
          <w:rFonts w:hint="eastAsia" w:ascii="宋体" w:hAnsi="宋体" w:eastAsia="宋体" w:cs="宋体"/>
          <w:sz w:val="22"/>
          <w:szCs w:val="32"/>
        </w:rPr>
        <w:t>。</w:t>
      </w:r>
      <w:bookmarkEnd w:id="917"/>
      <w:bookmarkEnd w:id="918"/>
      <w:bookmarkEnd w:id="91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20" w:name="_Toc12214"/>
      <w:bookmarkStart w:id="921" w:name="_Toc4055429"/>
      <w:bookmarkStart w:id="922" w:name="_Toc4055964"/>
      <w:r>
        <w:rPr>
          <w:rFonts w:hint="eastAsia" w:ascii="宋体" w:hAnsi="宋体" w:eastAsia="宋体" w:cs="宋体"/>
          <w:sz w:val="22"/>
          <w:szCs w:val="32"/>
        </w:rPr>
        <w:t>（2）发包人支付进度款的期限：</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920"/>
      <w:bookmarkEnd w:id="921"/>
      <w:bookmarkEnd w:id="92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23" w:name="_Toc4055430"/>
      <w:bookmarkStart w:id="924" w:name="_Toc15051"/>
      <w:bookmarkStart w:id="925" w:name="_Toc4055965"/>
      <w:r>
        <w:rPr>
          <w:rFonts w:hint="eastAsia" w:ascii="宋体" w:hAnsi="宋体" w:eastAsia="宋体" w:cs="宋体"/>
          <w:sz w:val="22"/>
          <w:szCs w:val="32"/>
          <w:u w:val="single"/>
        </w:rPr>
        <w:t>承包人在发包人资金暂不到位时，承诺保证连续施工，发包人不承担因此增加的费用</w:t>
      </w:r>
      <w:r>
        <w:rPr>
          <w:rFonts w:hint="eastAsia" w:ascii="宋体" w:hAnsi="宋体" w:eastAsia="宋体" w:cs="宋体"/>
          <w:sz w:val="22"/>
          <w:szCs w:val="32"/>
        </w:rPr>
        <w:t>。</w:t>
      </w:r>
      <w:bookmarkEnd w:id="923"/>
      <w:bookmarkEnd w:id="924"/>
      <w:bookmarkEnd w:id="92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26" w:name="_Toc4055431"/>
      <w:bookmarkStart w:id="927" w:name="_Toc31905"/>
      <w:bookmarkStart w:id="928" w:name="_Toc4055966"/>
      <w:r>
        <w:rPr>
          <w:rFonts w:hint="eastAsia" w:ascii="宋体" w:hAnsi="宋体" w:eastAsia="宋体" w:cs="宋体"/>
          <w:sz w:val="22"/>
          <w:szCs w:val="32"/>
        </w:rPr>
        <w:t>12.4.6 支付分解表的编制</w:t>
      </w:r>
      <w:bookmarkEnd w:id="926"/>
      <w:bookmarkEnd w:id="927"/>
      <w:bookmarkEnd w:id="92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929" w:name="_Toc4055967"/>
      <w:bookmarkStart w:id="930" w:name="_Toc18702"/>
      <w:bookmarkStart w:id="931" w:name="_Toc4055432"/>
      <w:r>
        <w:rPr>
          <w:rFonts w:hint="eastAsia" w:ascii="宋体" w:hAnsi="宋体" w:eastAsia="宋体" w:cs="宋体"/>
          <w:sz w:val="22"/>
          <w:szCs w:val="32"/>
        </w:rPr>
        <w:t>2、总价合同支付分解表的编制与审批：</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929"/>
      <w:bookmarkEnd w:id="930"/>
      <w:bookmarkEnd w:id="93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932" w:name="_Toc4055433"/>
      <w:bookmarkStart w:id="933" w:name="_Toc15461"/>
      <w:bookmarkStart w:id="934" w:name="_Toc4055968"/>
      <w:r>
        <w:rPr>
          <w:rFonts w:hint="eastAsia" w:ascii="宋体" w:hAnsi="宋体" w:eastAsia="宋体" w:cs="宋体"/>
          <w:sz w:val="22"/>
          <w:szCs w:val="32"/>
        </w:rPr>
        <w:t>3、单价合同的总价项目支付分解表的编制与审批：</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932"/>
      <w:bookmarkEnd w:id="933"/>
      <w:bookmarkEnd w:id="934"/>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935" w:name="_Toc4055434"/>
      <w:bookmarkStart w:id="936" w:name="_Toc27960"/>
      <w:bookmarkStart w:id="937" w:name="_Toc4055969"/>
      <w:r>
        <w:rPr>
          <w:rFonts w:hint="eastAsia" w:ascii="宋体" w:hAnsi="宋体" w:eastAsia="宋体" w:cs="宋体"/>
          <w:b/>
          <w:bCs/>
          <w:sz w:val="22"/>
          <w:szCs w:val="32"/>
        </w:rPr>
        <w:t>13. 验收和工程试车</w:t>
      </w:r>
      <w:bookmarkEnd w:id="935"/>
      <w:bookmarkEnd w:id="936"/>
      <w:bookmarkEnd w:id="93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38" w:name="_Toc4055435"/>
      <w:bookmarkStart w:id="939" w:name="_Toc15400"/>
      <w:bookmarkStart w:id="940" w:name="_Toc4055970"/>
      <w:r>
        <w:rPr>
          <w:rFonts w:hint="eastAsia" w:ascii="宋体" w:hAnsi="宋体" w:eastAsia="宋体" w:cs="宋体"/>
          <w:sz w:val="22"/>
          <w:szCs w:val="32"/>
        </w:rPr>
        <w:t>13.1 分部分项工程验收</w:t>
      </w:r>
      <w:bookmarkEnd w:id="938"/>
      <w:bookmarkEnd w:id="939"/>
      <w:bookmarkEnd w:id="94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41" w:name="_Toc4055971"/>
      <w:bookmarkStart w:id="942" w:name="_Toc25933"/>
      <w:bookmarkStart w:id="943" w:name="_Toc4055436"/>
      <w:r>
        <w:rPr>
          <w:rFonts w:hint="eastAsia" w:ascii="宋体" w:hAnsi="宋体" w:eastAsia="宋体" w:cs="宋体"/>
          <w:sz w:val="22"/>
          <w:szCs w:val="32"/>
        </w:rPr>
        <w:t>13.1.2监理人不能按时进行验收时，应提前</w:t>
      </w:r>
      <w:r>
        <w:rPr>
          <w:rFonts w:hint="eastAsia" w:ascii="宋体" w:hAnsi="宋体" w:eastAsia="宋体" w:cs="宋体"/>
          <w:sz w:val="22"/>
          <w:szCs w:val="32"/>
          <w:u w:val="single"/>
        </w:rPr>
        <w:t>24</w:t>
      </w:r>
      <w:r>
        <w:rPr>
          <w:rFonts w:hint="eastAsia" w:ascii="宋体" w:hAnsi="宋体" w:eastAsia="宋体" w:cs="宋体"/>
          <w:sz w:val="22"/>
          <w:szCs w:val="32"/>
        </w:rPr>
        <w:t>小时提交书面延期要求。</w:t>
      </w:r>
      <w:bookmarkEnd w:id="941"/>
      <w:bookmarkEnd w:id="942"/>
      <w:bookmarkEnd w:id="94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b/>
          <w:bCs/>
          <w:sz w:val="22"/>
          <w:szCs w:val="32"/>
        </w:rPr>
      </w:pPr>
      <w:bookmarkStart w:id="944" w:name="_Toc4055437"/>
      <w:bookmarkStart w:id="945" w:name="_Toc14703"/>
      <w:bookmarkStart w:id="946" w:name="_Toc4055972"/>
      <w:r>
        <w:rPr>
          <w:rFonts w:hint="eastAsia" w:ascii="宋体" w:hAnsi="宋体" w:eastAsia="宋体" w:cs="宋体"/>
          <w:sz w:val="22"/>
          <w:szCs w:val="32"/>
        </w:rPr>
        <w:t>关于延期最长不得超过：</w:t>
      </w:r>
      <w:r>
        <w:rPr>
          <w:rFonts w:hint="eastAsia" w:ascii="宋体" w:hAnsi="宋体" w:eastAsia="宋体" w:cs="宋体"/>
          <w:sz w:val="22"/>
          <w:szCs w:val="32"/>
          <w:u w:val="single"/>
        </w:rPr>
        <w:t>48</w:t>
      </w:r>
      <w:r>
        <w:rPr>
          <w:rFonts w:hint="eastAsia" w:ascii="宋体" w:hAnsi="宋体" w:eastAsia="宋体" w:cs="宋体"/>
          <w:sz w:val="22"/>
          <w:szCs w:val="32"/>
        </w:rPr>
        <w:t>小时。</w:t>
      </w:r>
      <w:bookmarkEnd w:id="944"/>
      <w:bookmarkEnd w:id="945"/>
      <w:bookmarkEnd w:id="94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47" w:name="_Toc4055973"/>
      <w:bookmarkStart w:id="948" w:name="_Toc4055438"/>
      <w:bookmarkStart w:id="949" w:name="_Toc23051"/>
      <w:r>
        <w:rPr>
          <w:rFonts w:hint="eastAsia" w:ascii="宋体" w:hAnsi="宋体" w:eastAsia="宋体" w:cs="宋体"/>
          <w:sz w:val="22"/>
          <w:szCs w:val="32"/>
        </w:rPr>
        <w:t>13.2 竣工验收</w:t>
      </w:r>
      <w:bookmarkEnd w:id="947"/>
      <w:bookmarkEnd w:id="948"/>
      <w:bookmarkEnd w:id="94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50" w:name="_Toc15903"/>
      <w:bookmarkStart w:id="951" w:name="_Toc4055439"/>
      <w:bookmarkStart w:id="952" w:name="_Toc4055974"/>
      <w:r>
        <w:rPr>
          <w:rFonts w:hint="eastAsia" w:ascii="宋体" w:hAnsi="宋体" w:eastAsia="宋体" w:cs="宋体"/>
          <w:sz w:val="22"/>
          <w:szCs w:val="32"/>
        </w:rPr>
        <w:t>13.2.2竣工验收程序</w:t>
      </w:r>
      <w:bookmarkEnd w:id="950"/>
      <w:bookmarkEnd w:id="951"/>
      <w:bookmarkEnd w:id="95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953" w:name="_Toc10587"/>
      <w:bookmarkStart w:id="954" w:name="_Toc4055975"/>
      <w:bookmarkStart w:id="955" w:name="_Toc4055440"/>
      <w:r>
        <w:rPr>
          <w:rFonts w:hint="eastAsia" w:ascii="宋体" w:hAnsi="宋体" w:eastAsia="宋体" w:cs="宋体"/>
          <w:sz w:val="22"/>
          <w:szCs w:val="32"/>
        </w:rPr>
        <w:t>关于竣工验收程序的约定：</w:t>
      </w:r>
      <w:r>
        <w:rPr>
          <w:rFonts w:hint="eastAsia" w:ascii="宋体" w:hAnsi="宋体" w:eastAsia="宋体" w:cs="宋体"/>
          <w:sz w:val="22"/>
          <w:szCs w:val="32"/>
          <w:u w:val="single"/>
        </w:rPr>
        <w:t>执行通用合同条款13.2.2</w:t>
      </w:r>
      <w:r>
        <w:rPr>
          <w:rFonts w:hint="eastAsia" w:ascii="宋体" w:hAnsi="宋体" w:eastAsia="宋体" w:cs="宋体"/>
          <w:sz w:val="22"/>
          <w:szCs w:val="32"/>
        </w:rPr>
        <w:t>。</w:t>
      </w:r>
      <w:bookmarkEnd w:id="953"/>
      <w:bookmarkEnd w:id="954"/>
      <w:bookmarkEnd w:id="95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56" w:name="_Toc9651"/>
      <w:bookmarkStart w:id="957" w:name="_Toc4055976"/>
      <w:bookmarkStart w:id="958" w:name="_Toc4055441"/>
      <w:r>
        <w:rPr>
          <w:rFonts w:hint="eastAsia" w:ascii="宋体" w:hAnsi="宋体" w:eastAsia="宋体" w:cs="宋体"/>
          <w:sz w:val="22"/>
          <w:szCs w:val="32"/>
        </w:rPr>
        <w:t>发包人不按照本项约定组织竣工验收、颁发工程接收证书的违约金的计算方法：</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956"/>
      <w:bookmarkEnd w:id="957"/>
      <w:bookmarkEnd w:id="95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59" w:name="_Toc4055977"/>
      <w:bookmarkStart w:id="960" w:name="_Toc4055442"/>
      <w:bookmarkStart w:id="961" w:name="_Toc10549"/>
      <w:r>
        <w:rPr>
          <w:rFonts w:hint="eastAsia" w:ascii="宋体" w:hAnsi="宋体" w:eastAsia="宋体" w:cs="宋体"/>
          <w:sz w:val="22"/>
          <w:szCs w:val="32"/>
        </w:rPr>
        <w:t>13.2.5移交、接收全部与部分工程</w:t>
      </w:r>
      <w:bookmarkEnd w:id="959"/>
      <w:bookmarkEnd w:id="960"/>
      <w:bookmarkEnd w:id="96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62" w:name="_Toc4055443"/>
      <w:bookmarkStart w:id="963" w:name="_Toc4055978"/>
      <w:bookmarkStart w:id="964" w:name="_Toc23811"/>
      <w:r>
        <w:rPr>
          <w:rFonts w:hint="eastAsia" w:ascii="宋体" w:hAnsi="宋体" w:eastAsia="宋体" w:cs="宋体"/>
          <w:sz w:val="22"/>
          <w:szCs w:val="32"/>
        </w:rPr>
        <w:t>承包人向发包人移交工程的期限：</w:t>
      </w:r>
      <w:r>
        <w:rPr>
          <w:rFonts w:hint="eastAsia" w:ascii="宋体" w:hAnsi="宋体" w:eastAsia="宋体" w:cs="宋体"/>
          <w:sz w:val="22"/>
          <w:szCs w:val="32"/>
          <w:u w:val="single"/>
        </w:rPr>
        <w:t>竣工验收合格后并协助发包方移交至有关管理部门</w:t>
      </w:r>
      <w:r>
        <w:rPr>
          <w:rFonts w:hint="eastAsia" w:ascii="宋体" w:hAnsi="宋体" w:eastAsia="宋体" w:cs="宋体"/>
          <w:sz w:val="22"/>
          <w:szCs w:val="32"/>
        </w:rPr>
        <w:t>。</w:t>
      </w:r>
      <w:bookmarkEnd w:id="962"/>
      <w:bookmarkEnd w:id="963"/>
      <w:bookmarkEnd w:id="96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965" w:name="_Toc4055979"/>
      <w:bookmarkStart w:id="966" w:name="_Toc4055444"/>
      <w:bookmarkStart w:id="967" w:name="_Toc20172"/>
      <w:r>
        <w:rPr>
          <w:rFonts w:hint="eastAsia" w:ascii="宋体" w:hAnsi="宋体" w:eastAsia="宋体" w:cs="宋体"/>
          <w:sz w:val="22"/>
          <w:szCs w:val="32"/>
        </w:rPr>
        <w:t>发包人未按本合同约定接收全部或部分工程的，违约金的计算方法为：</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965"/>
      <w:bookmarkEnd w:id="966"/>
      <w:bookmarkEnd w:id="96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968" w:name="_Toc14664"/>
      <w:bookmarkStart w:id="969" w:name="_Toc4055980"/>
      <w:bookmarkStart w:id="970" w:name="_Toc4055445"/>
      <w:r>
        <w:rPr>
          <w:rFonts w:hint="eastAsia" w:ascii="宋体" w:hAnsi="宋体" w:eastAsia="宋体" w:cs="宋体"/>
          <w:sz w:val="22"/>
          <w:szCs w:val="32"/>
        </w:rPr>
        <w:t>承包人未按时移交工程的，违约金的计算方法为：</w:t>
      </w:r>
      <w:r>
        <w:rPr>
          <w:rFonts w:hint="eastAsia" w:ascii="宋体" w:hAnsi="宋体" w:eastAsia="宋体" w:cs="宋体"/>
          <w:sz w:val="22"/>
          <w:szCs w:val="32"/>
          <w:u w:val="single"/>
        </w:rPr>
        <w:t>以合同价款为基数，按人民银行日期贷款利率支付违约金。</w:t>
      </w:r>
      <w:bookmarkEnd w:id="968"/>
      <w:bookmarkEnd w:id="969"/>
      <w:bookmarkEnd w:id="97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71" w:name="_Toc4055446"/>
      <w:bookmarkStart w:id="972" w:name="_Toc4055981"/>
      <w:bookmarkStart w:id="973" w:name="_Toc17407"/>
      <w:r>
        <w:rPr>
          <w:rFonts w:hint="eastAsia" w:ascii="宋体" w:hAnsi="宋体" w:eastAsia="宋体" w:cs="宋体"/>
          <w:sz w:val="22"/>
          <w:szCs w:val="32"/>
        </w:rPr>
        <w:t>13.3 工程试车</w:t>
      </w:r>
      <w:bookmarkEnd w:id="971"/>
      <w:bookmarkEnd w:id="972"/>
      <w:bookmarkEnd w:id="97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74" w:name="_Toc4055447"/>
      <w:bookmarkStart w:id="975" w:name="_Toc4055982"/>
      <w:bookmarkStart w:id="976" w:name="_Toc26694"/>
      <w:r>
        <w:rPr>
          <w:rFonts w:hint="eastAsia" w:ascii="宋体" w:hAnsi="宋体" w:eastAsia="宋体" w:cs="宋体"/>
          <w:sz w:val="22"/>
          <w:szCs w:val="32"/>
        </w:rPr>
        <w:t>13.3.1 试车程序</w:t>
      </w:r>
      <w:bookmarkEnd w:id="974"/>
      <w:bookmarkEnd w:id="975"/>
      <w:bookmarkEnd w:id="97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77" w:name="_Toc4055448"/>
      <w:bookmarkStart w:id="978" w:name="_Toc19137"/>
      <w:bookmarkStart w:id="979" w:name="_Toc4055983"/>
      <w:r>
        <w:rPr>
          <w:rFonts w:hint="eastAsia" w:ascii="宋体" w:hAnsi="宋体" w:eastAsia="宋体" w:cs="宋体"/>
          <w:sz w:val="22"/>
          <w:szCs w:val="32"/>
        </w:rPr>
        <w:t>工程试车内容：</w:t>
      </w:r>
      <w:r>
        <w:rPr>
          <w:rFonts w:hint="eastAsia" w:ascii="宋体" w:hAnsi="宋体" w:eastAsia="宋体" w:cs="宋体"/>
          <w:sz w:val="22"/>
          <w:szCs w:val="32"/>
          <w:u w:val="single"/>
        </w:rPr>
        <w:t>执行通用合同条款13.3.1</w:t>
      </w:r>
      <w:r>
        <w:rPr>
          <w:rFonts w:hint="eastAsia" w:ascii="宋体" w:hAnsi="宋体" w:eastAsia="宋体" w:cs="宋体"/>
          <w:sz w:val="22"/>
          <w:szCs w:val="32"/>
        </w:rPr>
        <w:t>。</w:t>
      </w:r>
      <w:bookmarkEnd w:id="977"/>
      <w:bookmarkEnd w:id="978"/>
      <w:bookmarkEnd w:id="97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80" w:name="_Toc4055449"/>
      <w:bookmarkStart w:id="981" w:name="_Toc4055984"/>
      <w:bookmarkStart w:id="982" w:name="_Toc13635"/>
      <w:r>
        <w:rPr>
          <w:rFonts w:hint="eastAsia" w:ascii="宋体" w:hAnsi="宋体" w:eastAsia="宋体" w:cs="宋体"/>
          <w:sz w:val="22"/>
          <w:szCs w:val="32"/>
        </w:rPr>
        <w:t>（1）单机无负荷试车费用由</w:t>
      </w:r>
      <w:r>
        <w:rPr>
          <w:rFonts w:hint="eastAsia" w:ascii="宋体" w:hAnsi="宋体" w:eastAsia="宋体" w:cs="宋体"/>
          <w:sz w:val="22"/>
          <w:szCs w:val="32"/>
          <w:u w:val="single"/>
        </w:rPr>
        <w:t>承包人</w:t>
      </w:r>
      <w:r>
        <w:rPr>
          <w:rFonts w:hint="eastAsia" w:ascii="宋体" w:hAnsi="宋体" w:eastAsia="宋体" w:cs="宋体"/>
          <w:sz w:val="22"/>
          <w:szCs w:val="32"/>
        </w:rPr>
        <w:t>承担；</w:t>
      </w:r>
      <w:bookmarkEnd w:id="980"/>
      <w:bookmarkEnd w:id="981"/>
      <w:bookmarkEnd w:id="98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83" w:name="_Toc21420"/>
      <w:bookmarkStart w:id="984" w:name="_Toc4055985"/>
      <w:bookmarkStart w:id="985" w:name="_Toc4055450"/>
      <w:r>
        <w:rPr>
          <w:rFonts w:hint="eastAsia" w:ascii="宋体" w:hAnsi="宋体" w:eastAsia="宋体" w:cs="宋体"/>
          <w:sz w:val="22"/>
          <w:szCs w:val="32"/>
        </w:rPr>
        <w:t>（2）无负荷联动试车费用由</w:t>
      </w:r>
      <w:r>
        <w:rPr>
          <w:rFonts w:hint="eastAsia" w:ascii="宋体" w:hAnsi="宋体" w:eastAsia="宋体" w:cs="宋体"/>
          <w:sz w:val="22"/>
          <w:szCs w:val="32"/>
          <w:u w:val="single"/>
        </w:rPr>
        <w:t>承包人</w:t>
      </w:r>
      <w:r>
        <w:rPr>
          <w:rFonts w:hint="eastAsia" w:ascii="宋体" w:hAnsi="宋体" w:eastAsia="宋体" w:cs="宋体"/>
          <w:sz w:val="22"/>
          <w:szCs w:val="32"/>
        </w:rPr>
        <w:t>承担。</w:t>
      </w:r>
      <w:bookmarkEnd w:id="983"/>
      <w:bookmarkEnd w:id="984"/>
      <w:bookmarkEnd w:id="98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86" w:name="_Toc29906"/>
      <w:bookmarkStart w:id="987" w:name="_Toc4055986"/>
      <w:bookmarkStart w:id="988" w:name="_Toc4055451"/>
      <w:r>
        <w:rPr>
          <w:rFonts w:hint="eastAsia" w:ascii="宋体" w:hAnsi="宋体" w:eastAsia="宋体" w:cs="宋体"/>
          <w:sz w:val="22"/>
          <w:szCs w:val="32"/>
        </w:rPr>
        <w:t>13.3.3 投料试车</w:t>
      </w:r>
      <w:bookmarkEnd w:id="986"/>
      <w:bookmarkEnd w:id="987"/>
      <w:bookmarkEnd w:id="98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89" w:name="_Toc6575"/>
      <w:bookmarkStart w:id="990" w:name="_Toc4055452"/>
      <w:bookmarkStart w:id="991" w:name="_Toc4055987"/>
      <w:r>
        <w:rPr>
          <w:rFonts w:hint="eastAsia" w:ascii="宋体" w:hAnsi="宋体" w:eastAsia="宋体" w:cs="宋体"/>
          <w:sz w:val="22"/>
          <w:szCs w:val="32"/>
        </w:rPr>
        <w:t>关于投料试车相关事项的约定：</w:t>
      </w:r>
      <w:r>
        <w:rPr>
          <w:rFonts w:hint="eastAsia" w:ascii="宋体" w:hAnsi="宋体" w:eastAsia="宋体" w:cs="宋体"/>
          <w:sz w:val="22"/>
          <w:szCs w:val="32"/>
          <w:u w:val="single"/>
        </w:rPr>
        <w:t>执行通用合同条款13.3.3</w:t>
      </w:r>
      <w:r>
        <w:rPr>
          <w:rFonts w:hint="eastAsia" w:ascii="宋体" w:hAnsi="宋体" w:eastAsia="宋体" w:cs="宋体"/>
          <w:sz w:val="22"/>
          <w:szCs w:val="32"/>
        </w:rPr>
        <w:t>。</w:t>
      </w:r>
      <w:bookmarkEnd w:id="989"/>
      <w:bookmarkEnd w:id="990"/>
      <w:bookmarkEnd w:id="99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92" w:name="_Toc4055988"/>
      <w:bookmarkStart w:id="993" w:name="_Toc4055453"/>
      <w:bookmarkStart w:id="994" w:name="_Toc23004"/>
      <w:r>
        <w:rPr>
          <w:rFonts w:hint="eastAsia" w:ascii="宋体" w:hAnsi="宋体" w:eastAsia="宋体" w:cs="宋体"/>
          <w:sz w:val="22"/>
          <w:szCs w:val="32"/>
        </w:rPr>
        <w:t>13.6 竣工退场</w:t>
      </w:r>
      <w:bookmarkEnd w:id="992"/>
      <w:bookmarkEnd w:id="993"/>
      <w:bookmarkEnd w:id="99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95" w:name="_Toc4055454"/>
      <w:bookmarkStart w:id="996" w:name="_Toc4055989"/>
      <w:bookmarkStart w:id="997" w:name="_Toc30198"/>
      <w:r>
        <w:rPr>
          <w:rFonts w:hint="eastAsia" w:ascii="宋体" w:hAnsi="宋体" w:eastAsia="宋体" w:cs="宋体"/>
          <w:sz w:val="22"/>
          <w:szCs w:val="32"/>
        </w:rPr>
        <w:t>13.6.1 竣工退场</w:t>
      </w:r>
      <w:bookmarkEnd w:id="995"/>
      <w:bookmarkEnd w:id="996"/>
      <w:bookmarkEnd w:id="99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998" w:name="_Toc4055455"/>
      <w:bookmarkStart w:id="999" w:name="_Toc4346"/>
      <w:bookmarkStart w:id="1000" w:name="_Toc4055990"/>
      <w:r>
        <w:rPr>
          <w:rFonts w:hint="eastAsia" w:ascii="宋体" w:hAnsi="宋体" w:eastAsia="宋体" w:cs="宋体"/>
          <w:sz w:val="22"/>
          <w:szCs w:val="32"/>
        </w:rPr>
        <w:t>承包人完成竣工退场的期限：</w:t>
      </w:r>
      <w:r>
        <w:rPr>
          <w:rFonts w:hint="eastAsia" w:ascii="宋体" w:hAnsi="宋体" w:eastAsia="宋体" w:cs="宋体"/>
          <w:sz w:val="22"/>
          <w:szCs w:val="32"/>
          <w:u w:val="single"/>
        </w:rPr>
        <w:t>工程完全竣工并移交后14天内</w:t>
      </w:r>
      <w:r>
        <w:rPr>
          <w:rFonts w:hint="eastAsia" w:ascii="宋体" w:hAnsi="宋体" w:eastAsia="宋体" w:cs="宋体"/>
          <w:sz w:val="22"/>
          <w:szCs w:val="32"/>
        </w:rPr>
        <w:t>。</w:t>
      </w:r>
      <w:bookmarkEnd w:id="998"/>
      <w:bookmarkEnd w:id="999"/>
      <w:bookmarkEnd w:id="1000"/>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1001" w:name="_Toc4055991"/>
      <w:bookmarkStart w:id="1002" w:name="_Toc4055456"/>
      <w:bookmarkStart w:id="1003" w:name="_Toc8808"/>
      <w:r>
        <w:rPr>
          <w:rFonts w:hint="eastAsia" w:ascii="宋体" w:hAnsi="宋体" w:eastAsia="宋体" w:cs="宋体"/>
          <w:b/>
          <w:bCs/>
          <w:sz w:val="22"/>
          <w:szCs w:val="32"/>
        </w:rPr>
        <w:t>14. 竣工结算</w:t>
      </w:r>
      <w:bookmarkEnd w:id="1001"/>
      <w:bookmarkEnd w:id="1002"/>
      <w:bookmarkEnd w:id="100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04" w:name="_Toc4055992"/>
      <w:bookmarkStart w:id="1005" w:name="_Toc4055457"/>
      <w:bookmarkStart w:id="1006" w:name="_Toc30043"/>
      <w:r>
        <w:rPr>
          <w:rFonts w:hint="eastAsia" w:ascii="宋体" w:hAnsi="宋体" w:eastAsia="宋体" w:cs="宋体"/>
          <w:sz w:val="22"/>
          <w:szCs w:val="32"/>
        </w:rPr>
        <w:t>14.1 竣工结算申请</w:t>
      </w:r>
      <w:bookmarkEnd w:id="1004"/>
      <w:bookmarkEnd w:id="1005"/>
      <w:bookmarkEnd w:id="100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07" w:name="_Toc4055458"/>
      <w:bookmarkStart w:id="1008" w:name="_Toc6846"/>
      <w:bookmarkStart w:id="1009" w:name="_Toc4055993"/>
      <w:r>
        <w:rPr>
          <w:rFonts w:hint="eastAsia" w:ascii="宋体" w:hAnsi="宋体" w:eastAsia="宋体" w:cs="宋体"/>
          <w:sz w:val="22"/>
          <w:szCs w:val="32"/>
        </w:rPr>
        <w:t>承包人提交竣工结算请单的期限：</w:t>
      </w:r>
      <w:r>
        <w:rPr>
          <w:rFonts w:hint="eastAsia" w:ascii="宋体" w:hAnsi="宋体" w:eastAsia="宋体" w:cs="宋体"/>
          <w:sz w:val="22"/>
          <w:szCs w:val="32"/>
          <w:u w:val="single"/>
        </w:rPr>
        <w:t>执行通用合同条款14.1</w:t>
      </w:r>
      <w:r>
        <w:rPr>
          <w:rFonts w:hint="eastAsia" w:ascii="宋体" w:hAnsi="宋体" w:eastAsia="宋体" w:cs="宋体"/>
          <w:sz w:val="22"/>
          <w:szCs w:val="32"/>
        </w:rPr>
        <w:t>。</w:t>
      </w:r>
      <w:bookmarkEnd w:id="1007"/>
      <w:bookmarkEnd w:id="1008"/>
      <w:bookmarkEnd w:id="100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10" w:name="_Toc29716"/>
      <w:bookmarkStart w:id="1011" w:name="_Toc4055994"/>
      <w:bookmarkStart w:id="1012" w:name="_Toc4055459"/>
      <w:r>
        <w:rPr>
          <w:rFonts w:hint="eastAsia" w:ascii="宋体" w:hAnsi="宋体" w:eastAsia="宋体" w:cs="宋体"/>
          <w:sz w:val="22"/>
          <w:szCs w:val="32"/>
        </w:rPr>
        <w:t>竣工结算清单应包括的内容：</w:t>
      </w:r>
      <w:r>
        <w:rPr>
          <w:rFonts w:hint="eastAsia" w:ascii="宋体" w:hAnsi="宋体" w:eastAsia="宋体" w:cs="宋体"/>
          <w:sz w:val="22"/>
          <w:szCs w:val="32"/>
          <w:u w:val="single"/>
        </w:rPr>
        <w:t>执行通用合同条款14.1</w:t>
      </w:r>
      <w:r>
        <w:rPr>
          <w:rFonts w:hint="eastAsia" w:ascii="宋体" w:hAnsi="宋体" w:eastAsia="宋体" w:cs="宋体"/>
          <w:sz w:val="22"/>
          <w:szCs w:val="32"/>
        </w:rPr>
        <w:t>。</w:t>
      </w:r>
      <w:bookmarkEnd w:id="1010"/>
      <w:bookmarkEnd w:id="1011"/>
      <w:bookmarkEnd w:id="1012"/>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1013" w:name="_Toc24327"/>
      <w:bookmarkStart w:id="1014" w:name="_Toc4055995"/>
      <w:bookmarkStart w:id="1015" w:name="_Toc4055460"/>
      <w:r>
        <w:rPr>
          <w:rFonts w:hint="eastAsia" w:ascii="宋体" w:hAnsi="宋体" w:eastAsia="宋体" w:cs="宋体"/>
          <w:b/>
          <w:bCs/>
          <w:sz w:val="22"/>
          <w:szCs w:val="32"/>
        </w:rPr>
        <w:t>15. 缺陷责任期与保修</w:t>
      </w:r>
      <w:bookmarkEnd w:id="1013"/>
      <w:bookmarkEnd w:id="1014"/>
      <w:bookmarkEnd w:id="101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16" w:name="_Toc4055996"/>
      <w:bookmarkStart w:id="1017" w:name="_Toc4055461"/>
      <w:bookmarkStart w:id="1018" w:name="_Toc32507"/>
      <w:r>
        <w:rPr>
          <w:rFonts w:hint="eastAsia" w:ascii="宋体" w:hAnsi="宋体" w:eastAsia="宋体" w:cs="宋体"/>
          <w:sz w:val="22"/>
          <w:szCs w:val="32"/>
        </w:rPr>
        <w:t>15.2缺陷责任期</w:t>
      </w:r>
      <w:bookmarkEnd w:id="1016"/>
      <w:bookmarkEnd w:id="1017"/>
      <w:bookmarkEnd w:id="101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019" w:name="_Toc27554"/>
      <w:bookmarkStart w:id="1020" w:name="_Toc4055462"/>
      <w:bookmarkStart w:id="1021" w:name="_Toc4055997"/>
      <w:r>
        <w:rPr>
          <w:rFonts w:hint="eastAsia" w:ascii="宋体" w:hAnsi="宋体" w:eastAsia="宋体" w:cs="宋体"/>
          <w:sz w:val="22"/>
          <w:szCs w:val="32"/>
        </w:rPr>
        <w:t>缺陷责任期的具体期限：</w:t>
      </w:r>
      <w:r>
        <w:rPr>
          <w:rFonts w:hint="eastAsia" w:ascii="宋体" w:hAnsi="宋体" w:eastAsia="宋体" w:cs="宋体"/>
          <w:sz w:val="22"/>
          <w:szCs w:val="32"/>
          <w:u w:val="single"/>
        </w:rPr>
        <w:t>竣工验收合格,移交至相关部门之日起24个月</w:t>
      </w:r>
      <w:r>
        <w:rPr>
          <w:rFonts w:hint="eastAsia" w:ascii="宋体" w:hAnsi="宋体" w:eastAsia="宋体" w:cs="宋体"/>
          <w:sz w:val="22"/>
          <w:szCs w:val="32"/>
        </w:rPr>
        <w:t>。</w:t>
      </w:r>
      <w:bookmarkEnd w:id="1019"/>
      <w:bookmarkEnd w:id="1020"/>
      <w:bookmarkEnd w:id="102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22" w:name="_Toc13142"/>
      <w:bookmarkStart w:id="1023" w:name="_Toc4055998"/>
      <w:bookmarkStart w:id="1024" w:name="_Toc4055463"/>
      <w:r>
        <w:rPr>
          <w:rFonts w:hint="eastAsia" w:ascii="宋体" w:hAnsi="宋体" w:eastAsia="宋体" w:cs="宋体"/>
          <w:sz w:val="22"/>
          <w:szCs w:val="32"/>
        </w:rPr>
        <w:t>15.3 质量保证金</w:t>
      </w:r>
      <w:bookmarkEnd w:id="1022"/>
      <w:bookmarkEnd w:id="1023"/>
      <w:bookmarkEnd w:id="102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25" w:name="_Toc4055999"/>
      <w:bookmarkStart w:id="1026" w:name="_Toc6580"/>
      <w:bookmarkStart w:id="1027" w:name="_Toc4055464"/>
      <w:r>
        <w:rPr>
          <w:rFonts w:hint="eastAsia" w:ascii="宋体" w:hAnsi="宋体" w:eastAsia="宋体" w:cs="宋体"/>
          <w:sz w:val="22"/>
          <w:szCs w:val="32"/>
        </w:rPr>
        <w:t>关于是否扣留质量保证金的约定：</w:t>
      </w:r>
      <w:r>
        <w:rPr>
          <w:rFonts w:hint="eastAsia" w:ascii="宋体" w:hAnsi="宋体" w:eastAsia="宋体" w:cs="宋体"/>
          <w:sz w:val="22"/>
          <w:szCs w:val="32"/>
          <w:u w:val="single"/>
        </w:rPr>
        <w:t>是</w:t>
      </w:r>
      <w:r>
        <w:rPr>
          <w:rFonts w:hint="eastAsia" w:ascii="宋体" w:hAnsi="宋体" w:eastAsia="宋体" w:cs="宋体"/>
          <w:sz w:val="22"/>
          <w:szCs w:val="32"/>
        </w:rPr>
        <w:t>。</w:t>
      </w:r>
      <w:bookmarkEnd w:id="1025"/>
      <w:bookmarkEnd w:id="1026"/>
      <w:bookmarkEnd w:id="102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28" w:name="_Toc4055465"/>
      <w:bookmarkStart w:id="1029" w:name="_Toc15064"/>
      <w:bookmarkStart w:id="1030" w:name="_Toc4056000"/>
      <w:r>
        <w:rPr>
          <w:rFonts w:hint="eastAsia" w:ascii="宋体" w:hAnsi="宋体" w:eastAsia="宋体" w:cs="宋体"/>
          <w:sz w:val="22"/>
          <w:szCs w:val="32"/>
        </w:rPr>
        <w:t>15.3.1 承包人提供质量保证金的方式</w:t>
      </w:r>
      <w:bookmarkEnd w:id="1028"/>
      <w:bookmarkEnd w:id="1029"/>
      <w:bookmarkEnd w:id="103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31" w:name="_Toc4056001"/>
      <w:bookmarkStart w:id="1032" w:name="_Toc4055466"/>
      <w:bookmarkStart w:id="1033" w:name="_Toc29860"/>
      <w:r>
        <w:rPr>
          <w:rFonts w:hint="eastAsia" w:ascii="宋体" w:hAnsi="宋体" w:eastAsia="宋体" w:cs="宋体"/>
          <w:sz w:val="22"/>
          <w:szCs w:val="32"/>
        </w:rPr>
        <w:t>质量保证金采用以下第</w:t>
      </w:r>
      <w:r>
        <w:rPr>
          <w:rFonts w:hint="eastAsia" w:ascii="宋体" w:hAnsi="宋体" w:eastAsia="宋体" w:cs="宋体"/>
          <w:sz w:val="22"/>
          <w:szCs w:val="32"/>
          <w:u w:val="single"/>
        </w:rPr>
        <w:t>（2）</w:t>
      </w:r>
      <w:r>
        <w:rPr>
          <w:rFonts w:hint="eastAsia" w:ascii="宋体" w:hAnsi="宋体" w:eastAsia="宋体" w:cs="宋体"/>
          <w:sz w:val="22"/>
          <w:szCs w:val="32"/>
        </w:rPr>
        <w:t>种方式：</w:t>
      </w:r>
      <w:bookmarkEnd w:id="1031"/>
      <w:bookmarkEnd w:id="1032"/>
      <w:bookmarkEnd w:id="103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34" w:name="_Toc25034"/>
      <w:bookmarkStart w:id="1035" w:name="_Toc4055467"/>
      <w:bookmarkStart w:id="1036" w:name="_Toc4056002"/>
      <w:r>
        <w:rPr>
          <w:rFonts w:hint="eastAsia" w:ascii="宋体" w:hAnsi="宋体" w:eastAsia="宋体" w:cs="宋体"/>
          <w:sz w:val="22"/>
          <w:szCs w:val="32"/>
        </w:rPr>
        <w:t>（1）质量保证金保函，保证金额为：</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034"/>
      <w:bookmarkEnd w:id="1035"/>
      <w:bookmarkEnd w:id="103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37" w:name="_Toc4056003"/>
      <w:bookmarkStart w:id="1038" w:name="_Toc13350"/>
      <w:bookmarkStart w:id="1039" w:name="_Toc4055468"/>
      <w:r>
        <w:rPr>
          <w:rFonts w:hint="eastAsia" w:ascii="宋体" w:hAnsi="宋体" w:eastAsia="宋体" w:cs="宋体"/>
          <w:sz w:val="22"/>
          <w:szCs w:val="32"/>
        </w:rPr>
        <w:t>（2）经审计部门审定后的工程结算价款的3%；</w:t>
      </w:r>
      <w:bookmarkEnd w:id="1037"/>
      <w:bookmarkEnd w:id="1038"/>
      <w:bookmarkEnd w:id="1039"/>
      <w:r>
        <w:rPr>
          <w:rFonts w:hint="eastAsia" w:ascii="宋体" w:hAnsi="宋体" w:eastAsia="宋体" w:cs="宋体"/>
          <w:sz w:val="22"/>
          <w:szCs w:val="32"/>
        </w:rPr>
        <w:t xml:space="preserve"> </w:t>
      </w:r>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40" w:name="_Toc4056004"/>
      <w:bookmarkStart w:id="1041" w:name="_Toc4055469"/>
      <w:bookmarkStart w:id="1042" w:name="_Toc29531"/>
      <w:r>
        <w:rPr>
          <w:rFonts w:hint="eastAsia" w:ascii="宋体" w:hAnsi="宋体" w:eastAsia="宋体" w:cs="宋体"/>
          <w:sz w:val="22"/>
          <w:szCs w:val="32"/>
        </w:rPr>
        <w:t>（3）其他方式:</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040"/>
      <w:bookmarkEnd w:id="1041"/>
      <w:bookmarkEnd w:id="104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43" w:name="_Toc4055470"/>
      <w:bookmarkStart w:id="1044" w:name="_Toc4056005"/>
      <w:bookmarkStart w:id="1045" w:name="_Toc18385"/>
      <w:r>
        <w:rPr>
          <w:rFonts w:hint="eastAsia" w:ascii="宋体" w:hAnsi="宋体" w:eastAsia="宋体" w:cs="宋体"/>
          <w:sz w:val="22"/>
          <w:szCs w:val="32"/>
        </w:rPr>
        <w:t>15.3.2 质量保证金的扣留</w:t>
      </w:r>
      <w:bookmarkEnd w:id="1043"/>
      <w:bookmarkEnd w:id="1044"/>
      <w:bookmarkEnd w:id="104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46" w:name="_Toc13660"/>
      <w:bookmarkStart w:id="1047" w:name="_Toc4055471"/>
      <w:bookmarkStart w:id="1048" w:name="_Toc4056006"/>
      <w:r>
        <w:rPr>
          <w:rFonts w:hint="eastAsia" w:ascii="宋体" w:hAnsi="宋体" w:eastAsia="宋体" w:cs="宋体"/>
          <w:sz w:val="22"/>
          <w:szCs w:val="32"/>
        </w:rPr>
        <w:t>质量保证金的扣留采取以下第</w:t>
      </w:r>
      <w:r>
        <w:rPr>
          <w:rFonts w:hint="eastAsia" w:ascii="宋体" w:hAnsi="宋体" w:eastAsia="宋体" w:cs="宋体"/>
          <w:sz w:val="22"/>
          <w:szCs w:val="32"/>
          <w:u w:val="single"/>
        </w:rPr>
        <w:t>（2）</w:t>
      </w:r>
      <w:r>
        <w:rPr>
          <w:rFonts w:hint="eastAsia" w:ascii="宋体" w:hAnsi="宋体" w:eastAsia="宋体" w:cs="宋体"/>
          <w:sz w:val="22"/>
          <w:szCs w:val="32"/>
        </w:rPr>
        <w:t>种方式：</w:t>
      </w:r>
      <w:bookmarkEnd w:id="1046"/>
      <w:bookmarkEnd w:id="1047"/>
      <w:bookmarkEnd w:id="104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49" w:name="_Toc4055472"/>
      <w:bookmarkStart w:id="1050" w:name="_Toc4056007"/>
      <w:bookmarkStart w:id="1051" w:name="_Toc2149"/>
      <w:r>
        <w:rPr>
          <w:rFonts w:hint="eastAsia" w:ascii="宋体" w:hAnsi="宋体" w:eastAsia="宋体" w:cs="宋体"/>
          <w:sz w:val="22"/>
          <w:szCs w:val="32"/>
        </w:rPr>
        <w:t>（1）在支付工程进度款时逐次扣留，在此情形下，质量保证金的计算基数不包括预付款的支付、扣回以及价格调整的金额；</w:t>
      </w:r>
      <w:bookmarkEnd w:id="1049"/>
      <w:bookmarkEnd w:id="1050"/>
      <w:bookmarkEnd w:id="105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52" w:name="_Toc4056008"/>
      <w:bookmarkStart w:id="1053" w:name="_Toc4055473"/>
      <w:bookmarkStart w:id="1054" w:name="_Toc26361"/>
      <w:r>
        <w:rPr>
          <w:rFonts w:hint="eastAsia" w:ascii="宋体" w:hAnsi="宋体" w:eastAsia="宋体" w:cs="宋体"/>
          <w:sz w:val="22"/>
          <w:szCs w:val="32"/>
        </w:rPr>
        <w:t>（2）工程竣工结算时一次性扣留质量保证金；</w:t>
      </w:r>
      <w:bookmarkEnd w:id="1052"/>
      <w:bookmarkEnd w:id="1053"/>
      <w:bookmarkEnd w:id="105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55" w:name="_Toc4055474"/>
      <w:bookmarkStart w:id="1056" w:name="_Toc4056009"/>
      <w:bookmarkStart w:id="1057" w:name="_Toc1057"/>
      <w:r>
        <w:rPr>
          <w:rFonts w:hint="eastAsia" w:ascii="宋体" w:hAnsi="宋体" w:eastAsia="宋体" w:cs="宋体"/>
          <w:sz w:val="22"/>
          <w:szCs w:val="32"/>
        </w:rPr>
        <w:t>（3）其他扣留方式:</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055"/>
      <w:bookmarkEnd w:id="1056"/>
      <w:bookmarkEnd w:id="105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058" w:name="_Toc562"/>
      <w:bookmarkStart w:id="1059" w:name="_Toc4056010"/>
      <w:bookmarkStart w:id="1060" w:name="_Toc4055475"/>
      <w:r>
        <w:rPr>
          <w:rFonts w:hint="eastAsia" w:ascii="宋体" w:hAnsi="宋体" w:eastAsia="宋体" w:cs="宋体"/>
          <w:sz w:val="22"/>
          <w:szCs w:val="32"/>
        </w:rPr>
        <w:t>关于质量保证金的补充约定：</w:t>
      </w:r>
      <w:r>
        <w:rPr>
          <w:rFonts w:hint="eastAsia" w:ascii="宋体" w:hAnsi="宋体" w:eastAsia="宋体" w:cs="宋体"/>
          <w:sz w:val="22"/>
          <w:szCs w:val="32"/>
          <w:u w:val="single"/>
        </w:rPr>
        <w:t>工程结算经审计审定后，质量保证金按审定工程总价款的</w:t>
      </w:r>
      <w:r>
        <w:rPr>
          <w:rFonts w:hint="eastAsia" w:ascii="宋体" w:hAnsi="宋体" w:eastAsia="宋体" w:cs="宋体"/>
          <w:color w:val="FF0000"/>
          <w:sz w:val="22"/>
          <w:szCs w:val="32"/>
          <w:u w:val="single"/>
        </w:rPr>
        <w:t>5%</w:t>
      </w:r>
      <w:r>
        <w:rPr>
          <w:rFonts w:hint="eastAsia" w:ascii="宋体" w:hAnsi="宋体" w:eastAsia="宋体" w:cs="宋体"/>
          <w:sz w:val="22"/>
          <w:szCs w:val="32"/>
          <w:u w:val="single"/>
        </w:rPr>
        <w:t>确定，发包人支付扣除质量保证金后剩余部分的工程款。</w:t>
      </w:r>
      <w:bookmarkEnd w:id="1058"/>
      <w:bookmarkEnd w:id="1059"/>
      <w:bookmarkEnd w:id="106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61" w:name="_Toc4056011"/>
      <w:bookmarkStart w:id="1062" w:name="_Toc4055476"/>
      <w:bookmarkStart w:id="1063" w:name="_Toc18133"/>
      <w:r>
        <w:rPr>
          <w:rFonts w:hint="eastAsia" w:ascii="宋体" w:hAnsi="宋体" w:eastAsia="宋体" w:cs="宋体"/>
          <w:sz w:val="22"/>
          <w:szCs w:val="32"/>
        </w:rPr>
        <w:t>15.4保修</w:t>
      </w:r>
      <w:bookmarkEnd w:id="1061"/>
      <w:bookmarkEnd w:id="1062"/>
      <w:bookmarkEnd w:id="106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64" w:name="_Toc4056012"/>
      <w:bookmarkStart w:id="1065" w:name="_Toc15901"/>
      <w:bookmarkStart w:id="1066" w:name="_Toc4055477"/>
      <w:r>
        <w:rPr>
          <w:rFonts w:hint="eastAsia" w:ascii="宋体" w:hAnsi="宋体" w:eastAsia="宋体" w:cs="宋体"/>
          <w:sz w:val="22"/>
          <w:szCs w:val="32"/>
        </w:rPr>
        <w:t>15.4.1 保修责任</w:t>
      </w:r>
      <w:bookmarkEnd w:id="1064"/>
      <w:bookmarkEnd w:id="1065"/>
      <w:bookmarkEnd w:id="106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67" w:name="_Toc4055478"/>
      <w:bookmarkStart w:id="1068" w:name="_Toc17311"/>
      <w:bookmarkStart w:id="1069" w:name="_Toc4056013"/>
      <w:r>
        <w:rPr>
          <w:rFonts w:hint="eastAsia" w:ascii="宋体" w:hAnsi="宋体" w:eastAsia="宋体" w:cs="宋体"/>
          <w:sz w:val="22"/>
          <w:szCs w:val="32"/>
        </w:rPr>
        <w:t>工程保修期为：</w:t>
      </w:r>
      <w:r>
        <w:rPr>
          <w:rFonts w:hint="eastAsia" w:ascii="宋体" w:hAnsi="宋体" w:eastAsia="宋体" w:cs="宋体"/>
          <w:sz w:val="22"/>
          <w:szCs w:val="32"/>
          <w:u w:val="single"/>
        </w:rPr>
        <w:t>竣工验收合格,移交至相关部门之日起24个月</w:t>
      </w:r>
      <w:r>
        <w:rPr>
          <w:rFonts w:hint="eastAsia" w:ascii="宋体" w:hAnsi="宋体" w:eastAsia="宋体" w:cs="宋体"/>
          <w:sz w:val="22"/>
          <w:szCs w:val="32"/>
        </w:rPr>
        <w:t>。</w:t>
      </w:r>
      <w:bookmarkEnd w:id="1067"/>
      <w:bookmarkEnd w:id="1068"/>
      <w:bookmarkEnd w:id="106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70" w:name="_Toc59"/>
      <w:bookmarkStart w:id="1071" w:name="_Toc4056014"/>
      <w:bookmarkStart w:id="1072" w:name="_Toc4055479"/>
      <w:r>
        <w:rPr>
          <w:rFonts w:hint="eastAsia" w:ascii="宋体" w:hAnsi="宋体" w:eastAsia="宋体" w:cs="宋体"/>
          <w:sz w:val="22"/>
          <w:szCs w:val="32"/>
        </w:rPr>
        <w:t>15.4.3 修复通知</w:t>
      </w:r>
      <w:bookmarkEnd w:id="1070"/>
      <w:bookmarkEnd w:id="1071"/>
      <w:bookmarkEnd w:id="107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073" w:name="_Toc30064"/>
      <w:bookmarkStart w:id="1074" w:name="_Toc4055480"/>
      <w:bookmarkStart w:id="1075" w:name="_Toc4056015"/>
      <w:r>
        <w:rPr>
          <w:rFonts w:hint="eastAsia" w:ascii="宋体" w:hAnsi="宋体" w:eastAsia="宋体" w:cs="宋体"/>
          <w:sz w:val="22"/>
          <w:szCs w:val="32"/>
        </w:rPr>
        <w:t>承包人收到保修通知并到达工程现场的合理时间：</w:t>
      </w:r>
      <w:r>
        <w:rPr>
          <w:rFonts w:hint="eastAsia" w:ascii="宋体" w:hAnsi="宋体" w:eastAsia="宋体" w:cs="宋体"/>
          <w:sz w:val="22"/>
          <w:szCs w:val="32"/>
          <w:u w:val="single"/>
        </w:rPr>
        <w:t>24小时内到达现场。</w:t>
      </w:r>
      <w:bookmarkEnd w:id="1073"/>
      <w:bookmarkEnd w:id="1074"/>
      <w:bookmarkEnd w:id="1075"/>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1076" w:name="_Toc4055481"/>
      <w:bookmarkStart w:id="1077" w:name="_Toc7522"/>
      <w:bookmarkStart w:id="1078" w:name="_Toc4056016"/>
      <w:r>
        <w:rPr>
          <w:rFonts w:hint="eastAsia" w:ascii="宋体" w:hAnsi="宋体" w:eastAsia="宋体" w:cs="宋体"/>
          <w:b/>
          <w:bCs/>
          <w:sz w:val="22"/>
          <w:szCs w:val="32"/>
        </w:rPr>
        <w:t>16. 违约</w:t>
      </w:r>
      <w:bookmarkEnd w:id="1076"/>
      <w:bookmarkEnd w:id="1077"/>
      <w:bookmarkEnd w:id="107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79" w:name="_Toc4056017"/>
      <w:bookmarkStart w:id="1080" w:name="_Toc4055482"/>
      <w:bookmarkStart w:id="1081" w:name="_Toc13513"/>
      <w:r>
        <w:rPr>
          <w:rFonts w:hint="eastAsia" w:ascii="宋体" w:hAnsi="宋体" w:eastAsia="宋体" w:cs="宋体"/>
          <w:sz w:val="22"/>
          <w:szCs w:val="32"/>
        </w:rPr>
        <w:t>16.1 发包人违约</w:t>
      </w:r>
      <w:bookmarkEnd w:id="1079"/>
      <w:bookmarkEnd w:id="1080"/>
      <w:bookmarkEnd w:id="108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82" w:name="_Toc3851"/>
      <w:bookmarkStart w:id="1083" w:name="_Toc4055483"/>
      <w:bookmarkStart w:id="1084" w:name="_Toc4056018"/>
      <w:r>
        <w:rPr>
          <w:rFonts w:hint="eastAsia" w:ascii="宋体" w:hAnsi="宋体" w:eastAsia="宋体" w:cs="宋体"/>
          <w:sz w:val="22"/>
          <w:szCs w:val="32"/>
        </w:rPr>
        <w:t>16.1.1发包人违约的情形</w:t>
      </w:r>
      <w:bookmarkEnd w:id="1082"/>
      <w:bookmarkEnd w:id="1083"/>
      <w:bookmarkEnd w:id="108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85" w:name="_Toc4055484"/>
      <w:bookmarkStart w:id="1086" w:name="_Toc29779"/>
      <w:bookmarkStart w:id="1087" w:name="_Toc4056019"/>
      <w:r>
        <w:rPr>
          <w:rFonts w:hint="eastAsia" w:ascii="宋体" w:hAnsi="宋体" w:eastAsia="宋体" w:cs="宋体"/>
          <w:sz w:val="22"/>
          <w:szCs w:val="32"/>
        </w:rPr>
        <w:t>发包人违约的其他情形：</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1085"/>
      <w:bookmarkEnd w:id="1086"/>
      <w:bookmarkEnd w:id="108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r>
        <w:rPr>
          <w:rFonts w:hint="eastAsia" w:ascii="宋体" w:hAnsi="宋体" w:eastAsia="宋体" w:cs="宋体"/>
          <w:sz w:val="22"/>
          <w:szCs w:val="32"/>
        </w:rPr>
        <w:t xml:space="preserve">    </w:t>
      </w:r>
      <w:bookmarkStart w:id="1088" w:name="_Toc4055485"/>
      <w:bookmarkStart w:id="1089" w:name="_Toc10246"/>
      <w:bookmarkStart w:id="1090" w:name="_Toc4056020"/>
      <w:r>
        <w:rPr>
          <w:rFonts w:hint="eastAsia" w:ascii="宋体" w:hAnsi="宋体" w:eastAsia="宋体" w:cs="宋体"/>
          <w:sz w:val="22"/>
          <w:szCs w:val="32"/>
        </w:rPr>
        <w:t>16.1.2 发包人违约的责任</w:t>
      </w:r>
      <w:bookmarkEnd w:id="1088"/>
      <w:bookmarkEnd w:id="1089"/>
      <w:bookmarkEnd w:id="109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91" w:name="_Toc4055486"/>
      <w:bookmarkStart w:id="1092" w:name="_Toc25402"/>
      <w:bookmarkStart w:id="1093" w:name="_Toc4056021"/>
      <w:r>
        <w:rPr>
          <w:rFonts w:hint="eastAsia" w:ascii="宋体" w:hAnsi="宋体" w:eastAsia="宋体" w:cs="宋体"/>
          <w:sz w:val="22"/>
          <w:szCs w:val="32"/>
        </w:rPr>
        <w:t>发包人违约责任的承担方式和计算方法：</w:t>
      </w:r>
      <w:bookmarkEnd w:id="1091"/>
      <w:bookmarkEnd w:id="1092"/>
      <w:bookmarkEnd w:id="109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094" w:name="_Toc4055487"/>
      <w:bookmarkStart w:id="1095" w:name="_Toc4056022"/>
      <w:bookmarkStart w:id="1096" w:name="_Toc27622"/>
      <w:r>
        <w:rPr>
          <w:rFonts w:hint="eastAsia" w:ascii="宋体" w:hAnsi="宋体" w:eastAsia="宋体" w:cs="宋体"/>
          <w:sz w:val="22"/>
          <w:szCs w:val="32"/>
        </w:rPr>
        <w:t>（1）因发包人原因未能在计划开工日期前7天内下达开工通知的违约责任：</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094"/>
      <w:bookmarkEnd w:id="1095"/>
      <w:bookmarkEnd w:id="109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097" w:name="_Toc4056023"/>
      <w:bookmarkStart w:id="1098" w:name="_Toc11132"/>
      <w:bookmarkStart w:id="1099" w:name="_Toc4055488"/>
      <w:r>
        <w:rPr>
          <w:rFonts w:hint="eastAsia" w:ascii="宋体" w:hAnsi="宋体" w:eastAsia="宋体" w:cs="宋体"/>
          <w:sz w:val="22"/>
          <w:szCs w:val="32"/>
        </w:rPr>
        <w:t>（2）因发包人原因未能按合同约定支付合同价款的违约责任：</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1097"/>
      <w:bookmarkEnd w:id="1098"/>
      <w:bookmarkEnd w:id="109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00" w:name="_Toc1692"/>
      <w:bookmarkStart w:id="1101" w:name="_Toc4055489"/>
      <w:bookmarkStart w:id="1102" w:name="_Toc4056024"/>
      <w:r>
        <w:rPr>
          <w:rFonts w:hint="eastAsia" w:ascii="宋体" w:hAnsi="宋体" w:eastAsia="宋体" w:cs="宋体"/>
          <w:sz w:val="22"/>
          <w:szCs w:val="32"/>
        </w:rPr>
        <w:t>（3）发包人违反第10.1款〔变更的范围〕第（2）项约定，自行实施被取消的工作或转由他人实施的违约责任：</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1100"/>
      <w:bookmarkEnd w:id="1101"/>
      <w:bookmarkEnd w:id="110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03" w:name="_Toc4055490"/>
      <w:bookmarkStart w:id="1104" w:name="_Toc4056025"/>
      <w:bookmarkStart w:id="1105" w:name="_Toc29574"/>
      <w:r>
        <w:rPr>
          <w:rFonts w:hint="eastAsia" w:ascii="宋体" w:hAnsi="宋体" w:eastAsia="宋体" w:cs="宋体"/>
          <w:sz w:val="22"/>
          <w:szCs w:val="32"/>
        </w:rPr>
        <w:t>（4）发包人提供的材料、工程设备的规格、数量或质量不符合合同约定，或因发包人原因导致交货日期延误或交货地点变更等情况的违约责任：</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103"/>
      <w:bookmarkEnd w:id="1104"/>
      <w:bookmarkEnd w:id="110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06" w:name="_Toc3610"/>
      <w:bookmarkStart w:id="1107" w:name="_Toc4056026"/>
      <w:bookmarkStart w:id="1108" w:name="_Toc4055491"/>
      <w:r>
        <w:rPr>
          <w:rFonts w:hint="eastAsia" w:ascii="宋体" w:hAnsi="宋体" w:eastAsia="宋体" w:cs="宋体"/>
          <w:sz w:val="22"/>
          <w:szCs w:val="32"/>
        </w:rPr>
        <w:t>（5）因发包人违反合同约定造成暂停施工的违约责任：</w:t>
      </w:r>
      <w:r>
        <w:rPr>
          <w:rFonts w:hint="eastAsia" w:ascii="宋体" w:hAnsi="宋体" w:eastAsia="宋体" w:cs="宋体"/>
          <w:sz w:val="22"/>
          <w:szCs w:val="32"/>
          <w:u w:val="single"/>
        </w:rPr>
        <w:t>工期顺延</w:t>
      </w:r>
      <w:r>
        <w:rPr>
          <w:rFonts w:hint="eastAsia" w:ascii="宋体" w:hAnsi="宋体" w:eastAsia="宋体" w:cs="宋体"/>
          <w:sz w:val="22"/>
          <w:szCs w:val="32"/>
        </w:rPr>
        <w:t>。</w:t>
      </w:r>
      <w:bookmarkEnd w:id="1106"/>
      <w:bookmarkEnd w:id="1107"/>
      <w:bookmarkEnd w:id="110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09" w:name="_Toc4055492"/>
      <w:bookmarkStart w:id="1110" w:name="_Toc17874"/>
      <w:bookmarkStart w:id="1111" w:name="_Toc4056027"/>
      <w:r>
        <w:rPr>
          <w:rFonts w:hint="eastAsia" w:ascii="宋体" w:hAnsi="宋体" w:eastAsia="宋体" w:cs="宋体"/>
          <w:sz w:val="22"/>
          <w:szCs w:val="32"/>
        </w:rPr>
        <w:t>（6）发包人无正当理由没有在约定期限内发出复工指示，导致承包人无法复工的违约责任：</w:t>
      </w:r>
      <w:r>
        <w:rPr>
          <w:rFonts w:hint="eastAsia" w:ascii="宋体" w:hAnsi="宋体" w:eastAsia="宋体" w:cs="宋体"/>
          <w:sz w:val="22"/>
          <w:szCs w:val="32"/>
          <w:u w:val="single"/>
        </w:rPr>
        <w:t>工期顺延</w:t>
      </w:r>
      <w:r>
        <w:rPr>
          <w:rFonts w:hint="eastAsia" w:ascii="宋体" w:hAnsi="宋体" w:eastAsia="宋体" w:cs="宋体"/>
          <w:sz w:val="22"/>
          <w:szCs w:val="32"/>
        </w:rPr>
        <w:t>。</w:t>
      </w:r>
      <w:bookmarkEnd w:id="1109"/>
      <w:bookmarkEnd w:id="1110"/>
      <w:bookmarkEnd w:id="111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12" w:name="_Toc4056028"/>
      <w:bookmarkStart w:id="1113" w:name="_Toc17920"/>
      <w:bookmarkStart w:id="1114" w:name="_Toc4055493"/>
      <w:r>
        <w:rPr>
          <w:rFonts w:hint="eastAsia" w:ascii="宋体" w:hAnsi="宋体" w:eastAsia="宋体" w:cs="宋体"/>
          <w:sz w:val="22"/>
          <w:szCs w:val="32"/>
        </w:rPr>
        <w:t>（7）其他：</w:t>
      </w:r>
      <w:r>
        <w:rPr>
          <w:rFonts w:hint="eastAsia" w:ascii="宋体" w:hAnsi="宋体" w:eastAsia="宋体" w:cs="宋体"/>
          <w:sz w:val="22"/>
          <w:szCs w:val="32"/>
          <w:u w:val="single"/>
        </w:rPr>
        <w:t xml:space="preserve"> /</w:t>
      </w:r>
      <w:bookmarkEnd w:id="1112"/>
      <w:bookmarkEnd w:id="1113"/>
      <w:bookmarkEnd w:id="1114"/>
      <w:r>
        <w:rPr>
          <w:rFonts w:hint="eastAsia" w:ascii="宋体" w:hAnsi="宋体" w:eastAsia="宋体" w:cs="宋体"/>
          <w:sz w:val="22"/>
          <w:szCs w:val="32"/>
          <w:u w:val="single"/>
        </w:rPr>
        <w:t xml:space="preserve"> </w:t>
      </w:r>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15" w:name="_Toc22118"/>
      <w:bookmarkStart w:id="1116" w:name="_Toc4056029"/>
      <w:bookmarkStart w:id="1117" w:name="_Toc4055494"/>
      <w:r>
        <w:rPr>
          <w:rFonts w:hint="eastAsia" w:ascii="宋体" w:hAnsi="宋体" w:eastAsia="宋体" w:cs="宋体"/>
          <w:sz w:val="22"/>
          <w:szCs w:val="32"/>
        </w:rPr>
        <w:t>16.1.3 因发包人违约解除合同</w:t>
      </w:r>
      <w:bookmarkEnd w:id="1115"/>
      <w:bookmarkEnd w:id="1116"/>
      <w:bookmarkEnd w:id="111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18" w:name="_Toc7570"/>
      <w:bookmarkStart w:id="1119" w:name="_Toc4056030"/>
      <w:bookmarkStart w:id="1120" w:name="_Toc4055495"/>
      <w:r>
        <w:rPr>
          <w:rFonts w:hint="eastAsia" w:ascii="宋体" w:hAnsi="宋体" w:eastAsia="宋体" w:cs="宋体"/>
          <w:sz w:val="22"/>
          <w:szCs w:val="32"/>
        </w:rPr>
        <w:t>承包人按16.1.1项〔发包人违约的情形〕约定暂停施工满</w:t>
      </w:r>
      <w:r>
        <w:rPr>
          <w:rFonts w:hint="eastAsia" w:ascii="宋体" w:hAnsi="宋体" w:eastAsia="宋体" w:cs="宋体"/>
          <w:sz w:val="22"/>
          <w:szCs w:val="32"/>
          <w:u w:val="single"/>
        </w:rPr>
        <w:t>/</w:t>
      </w:r>
      <w:r>
        <w:rPr>
          <w:rFonts w:hint="eastAsia" w:ascii="宋体" w:hAnsi="宋体" w:eastAsia="宋体" w:cs="宋体"/>
          <w:sz w:val="22"/>
          <w:szCs w:val="32"/>
        </w:rPr>
        <w:t>天后发包人仍不纠正其违约行为并致使合同目的不能实现的，承包人有权解除合同。</w:t>
      </w:r>
      <w:bookmarkEnd w:id="1118"/>
      <w:bookmarkEnd w:id="1119"/>
      <w:bookmarkEnd w:id="112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21" w:name="_Toc4056031"/>
      <w:bookmarkStart w:id="1122" w:name="_Toc7525"/>
      <w:bookmarkStart w:id="1123" w:name="_Toc4055496"/>
      <w:r>
        <w:rPr>
          <w:rFonts w:hint="eastAsia" w:ascii="宋体" w:hAnsi="宋体" w:eastAsia="宋体" w:cs="宋体"/>
          <w:sz w:val="22"/>
          <w:szCs w:val="32"/>
        </w:rPr>
        <w:t>16.2 承包人违约</w:t>
      </w:r>
      <w:bookmarkEnd w:id="1121"/>
      <w:bookmarkEnd w:id="1122"/>
      <w:bookmarkEnd w:id="112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24" w:name="_Toc4055497"/>
      <w:bookmarkStart w:id="1125" w:name="_Toc4056032"/>
      <w:bookmarkStart w:id="1126" w:name="_Toc8848"/>
      <w:r>
        <w:rPr>
          <w:rFonts w:hint="eastAsia" w:ascii="宋体" w:hAnsi="宋体" w:eastAsia="宋体" w:cs="宋体"/>
          <w:sz w:val="22"/>
          <w:szCs w:val="32"/>
        </w:rPr>
        <w:t>16.2.1 承包人违约的情形</w:t>
      </w:r>
      <w:bookmarkEnd w:id="1124"/>
      <w:bookmarkEnd w:id="1125"/>
      <w:bookmarkEnd w:id="112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27" w:name="_Toc14101"/>
      <w:bookmarkStart w:id="1128" w:name="_Toc4055498"/>
      <w:bookmarkStart w:id="1129" w:name="_Toc4056033"/>
      <w:r>
        <w:rPr>
          <w:rFonts w:hint="eastAsia" w:ascii="宋体" w:hAnsi="宋体" w:eastAsia="宋体" w:cs="宋体"/>
          <w:sz w:val="22"/>
          <w:szCs w:val="32"/>
        </w:rPr>
        <w:t>承包人违约的其他情形：</w:t>
      </w:r>
      <w:r>
        <w:rPr>
          <w:rFonts w:hint="eastAsia" w:ascii="宋体" w:hAnsi="宋体" w:eastAsia="宋体" w:cs="宋体"/>
          <w:sz w:val="22"/>
          <w:szCs w:val="32"/>
          <w:u w:val="single"/>
        </w:rPr>
        <w:t>/</w:t>
      </w:r>
      <w:bookmarkEnd w:id="1127"/>
      <w:bookmarkEnd w:id="1128"/>
      <w:bookmarkEnd w:id="112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30" w:name="_Toc14249"/>
      <w:bookmarkStart w:id="1131" w:name="_Toc4055499"/>
      <w:bookmarkStart w:id="1132" w:name="_Toc4056034"/>
      <w:r>
        <w:rPr>
          <w:rFonts w:hint="eastAsia" w:ascii="宋体" w:hAnsi="宋体" w:eastAsia="宋体" w:cs="宋体"/>
          <w:sz w:val="22"/>
          <w:szCs w:val="32"/>
        </w:rPr>
        <w:t>16.2.2承包人违约的责任</w:t>
      </w:r>
      <w:bookmarkEnd w:id="1130"/>
      <w:bookmarkEnd w:id="1131"/>
      <w:bookmarkEnd w:id="113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33" w:name="_Toc4056035"/>
      <w:bookmarkStart w:id="1134" w:name="_Toc15608"/>
      <w:bookmarkStart w:id="1135" w:name="_Toc4055500"/>
      <w:r>
        <w:rPr>
          <w:rFonts w:hint="eastAsia" w:ascii="宋体" w:hAnsi="宋体" w:eastAsia="宋体" w:cs="宋体"/>
          <w:sz w:val="22"/>
          <w:szCs w:val="32"/>
        </w:rPr>
        <w:t>承包人违约责任的承担方式和计算方法：</w:t>
      </w:r>
      <w:r>
        <w:rPr>
          <w:rFonts w:hint="eastAsia" w:ascii="宋体" w:hAnsi="宋体" w:eastAsia="宋体" w:cs="宋体"/>
          <w:sz w:val="22"/>
          <w:szCs w:val="32"/>
          <w:u w:val="single"/>
        </w:rPr>
        <w:t>承包人应承担因其违约行为而增加的费用和（或）延误的工期并赔偿发包人的所有损失。若因承包人原因造成工程质量不合格，承包人应无条件返修至合格，若竣工验收时达不到投标时承诺的质量标准，按工程总造价的5%支付违约金；如因承包人拖欠农民工工资或出现伤亡安全事故的直接从工程款或履约保证金中扣除承包人10万元/次违约金。</w:t>
      </w:r>
      <w:bookmarkEnd w:id="1133"/>
      <w:bookmarkEnd w:id="1134"/>
      <w:bookmarkEnd w:id="113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36" w:name="_Toc4055501"/>
      <w:bookmarkStart w:id="1137" w:name="_Toc5017"/>
      <w:bookmarkStart w:id="1138" w:name="_Toc4056036"/>
      <w:r>
        <w:rPr>
          <w:rFonts w:hint="eastAsia" w:ascii="宋体" w:hAnsi="宋体" w:eastAsia="宋体" w:cs="宋体"/>
          <w:sz w:val="22"/>
          <w:szCs w:val="32"/>
        </w:rPr>
        <w:t>16.2.3 因承包人违约解除合同</w:t>
      </w:r>
      <w:bookmarkEnd w:id="1136"/>
      <w:bookmarkEnd w:id="1137"/>
      <w:bookmarkEnd w:id="113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39" w:name="_Toc4056037"/>
      <w:bookmarkStart w:id="1140" w:name="_Toc10489"/>
      <w:bookmarkStart w:id="1141" w:name="_Toc4055502"/>
      <w:r>
        <w:rPr>
          <w:rFonts w:hint="eastAsia" w:ascii="宋体" w:hAnsi="宋体" w:eastAsia="宋体" w:cs="宋体"/>
          <w:sz w:val="22"/>
          <w:szCs w:val="32"/>
        </w:rPr>
        <w:t>关于承包人违约解除合同的特别约定：</w:t>
      </w:r>
      <w:bookmarkEnd w:id="1139"/>
      <w:bookmarkEnd w:id="1140"/>
      <w:bookmarkEnd w:id="114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42" w:name="_Toc30268"/>
      <w:bookmarkStart w:id="1143" w:name="_Toc4055503"/>
      <w:bookmarkStart w:id="1144" w:name="_Toc4056038"/>
      <w:r>
        <w:rPr>
          <w:rFonts w:hint="eastAsia" w:ascii="宋体" w:hAnsi="宋体" w:eastAsia="宋体" w:cs="宋体"/>
          <w:sz w:val="22"/>
          <w:szCs w:val="32"/>
          <w:u w:val="single"/>
        </w:rPr>
        <w:t>有下列情况之一者，发包人有权停止拨款，并可选择解除合同：（1）因承包人原因造成重大事故，且无能力继续履约；（2）承包人与第三方发生债务诉讼，致使法院或银行通过法律程序要冻结或划拨发包人应付的工程款；（3）承包人挪用工程款，致使工程进度迟缓，大幅度延缓工期。承包人应承担合同签约总价5%的违约金并赔偿发包人的一切损失。违约金发包人可直接从应付工程款或履约保证金中扣除；（4）发现承包人拖延工期、拒不配合发包人相关工作的且三次书面通知后拒不改正的。</w:t>
      </w:r>
      <w:bookmarkEnd w:id="1142"/>
      <w:bookmarkEnd w:id="1143"/>
      <w:bookmarkEnd w:id="114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45" w:name="_Toc4055504"/>
      <w:bookmarkStart w:id="1146" w:name="_Toc6845"/>
      <w:bookmarkStart w:id="1147" w:name="_Toc4056039"/>
      <w:r>
        <w:rPr>
          <w:rFonts w:hint="eastAsia" w:ascii="宋体" w:hAnsi="宋体" w:eastAsia="宋体" w:cs="宋体"/>
          <w:sz w:val="22"/>
          <w:szCs w:val="32"/>
        </w:rPr>
        <w:t>发包人继续使用承包人在施工现场的材料、设备、临时工程、承包人文件和由承包人或以其名义编制的其他文件的费用承担方式：</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145"/>
      <w:bookmarkEnd w:id="1146"/>
      <w:bookmarkEnd w:id="1147"/>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1148" w:name="_Toc4055505"/>
      <w:bookmarkStart w:id="1149" w:name="_Toc4056040"/>
      <w:bookmarkStart w:id="1150" w:name="_Toc11024"/>
      <w:r>
        <w:rPr>
          <w:rFonts w:hint="eastAsia" w:ascii="宋体" w:hAnsi="宋体" w:eastAsia="宋体" w:cs="宋体"/>
          <w:b/>
          <w:bCs/>
          <w:sz w:val="22"/>
          <w:szCs w:val="32"/>
        </w:rPr>
        <w:t>17. 不可抗力</w:t>
      </w:r>
      <w:bookmarkEnd w:id="1148"/>
      <w:bookmarkEnd w:id="1149"/>
      <w:bookmarkEnd w:id="115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51" w:name="_Toc4055506"/>
      <w:bookmarkStart w:id="1152" w:name="_Toc4056041"/>
      <w:bookmarkStart w:id="1153" w:name="_Toc22662"/>
      <w:r>
        <w:rPr>
          <w:rFonts w:hint="eastAsia" w:ascii="宋体" w:hAnsi="宋体" w:eastAsia="宋体" w:cs="宋体"/>
          <w:sz w:val="22"/>
          <w:szCs w:val="32"/>
        </w:rPr>
        <w:t>17.1 不可抗力的确认</w:t>
      </w:r>
      <w:bookmarkEnd w:id="1151"/>
      <w:bookmarkEnd w:id="1152"/>
      <w:bookmarkEnd w:id="115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54" w:name="_Toc4055507"/>
      <w:bookmarkStart w:id="1155" w:name="_Toc27907"/>
      <w:bookmarkStart w:id="1156" w:name="_Toc4056042"/>
      <w:r>
        <w:rPr>
          <w:rFonts w:hint="eastAsia" w:ascii="宋体" w:hAnsi="宋体" w:eastAsia="宋体" w:cs="宋体"/>
          <w:sz w:val="22"/>
          <w:szCs w:val="32"/>
        </w:rPr>
        <w:t>除通用合同条款约定的不可抗力事件之外，视为不可抗力的其他情形：</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154"/>
      <w:bookmarkEnd w:id="1155"/>
      <w:bookmarkEnd w:id="115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57" w:name="_Toc4056043"/>
      <w:bookmarkStart w:id="1158" w:name="_Toc4055508"/>
      <w:bookmarkStart w:id="1159" w:name="_Toc28767"/>
      <w:r>
        <w:rPr>
          <w:rFonts w:hint="eastAsia" w:ascii="宋体" w:hAnsi="宋体" w:eastAsia="宋体" w:cs="宋体"/>
          <w:sz w:val="22"/>
          <w:szCs w:val="32"/>
        </w:rPr>
        <w:t>17.4 因不可抗力解除合同</w:t>
      </w:r>
      <w:bookmarkEnd w:id="1157"/>
      <w:bookmarkEnd w:id="1158"/>
      <w:bookmarkEnd w:id="115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60" w:name="_Toc4055509"/>
      <w:bookmarkStart w:id="1161" w:name="_Toc7555"/>
      <w:bookmarkStart w:id="1162" w:name="_Toc4056044"/>
      <w:r>
        <w:rPr>
          <w:rFonts w:hint="eastAsia" w:ascii="宋体" w:hAnsi="宋体" w:eastAsia="宋体" w:cs="宋体"/>
          <w:sz w:val="22"/>
          <w:szCs w:val="32"/>
        </w:rPr>
        <w:t>合同解除后，发包人应在商定或确定发包人应支付款项后</w:t>
      </w:r>
      <w:r>
        <w:rPr>
          <w:rFonts w:hint="eastAsia" w:ascii="宋体" w:hAnsi="宋体" w:eastAsia="宋体" w:cs="宋体"/>
          <w:sz w:val="22"/>
          <w:szCs w:val="32"/>
          <w:u w:val="single"/>
        </w:rPr>
        <w:t>60</w:t>
      </w:r>
      <w:r>
        <w:rPr>
          <w:rFonts w:hint="eastAsia" w:ascii="宋体" w:hAnsi="宋体" w:eastAsia="宋体" w:cs="宋体"/>
          <w:sz w:val="22"/>
          <w:szCs w:val="32"/>
        </w:rPr>
        <w:t>天内完成款项的支付。</w:t>
      </w:r>
      <w:bookmarkEnd w:id="1160"/>
      <w:bookmarkEnd w:id="1161"/>
      <w:bookmarkEnd w:id="1162"/>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1163" w:name="_Toc17248"/>
      <w:bookmarkStart w:id="1164" w:name="_Toc4055510"/>
      <w:bookmarkStart w:id="1165" w:name="_Toc4056045"/>
      <w:r>
        <w:rPr>
          <w:rFonts w:hint="eastAsia" w:ascii="宋体" w:hAnsi="宋体" w:eastAsia="宋体" w:cs="宋体"/>
          <w:b/>
          <w:bCs/>
          <w:sz w:val="22"/>
          <w:szCs w:val="32"/>
        </w:rPr>
        <w:t>18. 保险</w:t>
      </w:r>
      <w:bookmarkEnd w:id="1163"/>
      <w:bookmarkEnd w:id="1164"/>
      <w:bookmarkEnd w:id="116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66" w:name="_Toc4055511"/>
      <w:bookmarkStart w:id="1167" w:name="_Toc4385"/>
      <w:bookmarkStart w:id="1168" w:name="_Toc4056046"/>
      <w:r>
        <w:rPr>
          <w:rFonts w:hint="eastAsia" w:ascii="宋体" w:hAnsi="宋体" w:eastAsia="宋体" w:cs="宋体"/>
          <w:sz w:val="22"/>
          <w:szCs w:val="32"/>
        </w:rPr>
        <w:t>18.1 工程保险</w:t>
      </w:r>
      <w:bookmarkEnd w:id="1166"/>
      <w:bookmarkEnd w:id="1167"/>
      <w:bookmarkEnd w:id="116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69" w:name="_Toc4055512"/>
      <w:bookmarkStart w:id="1170" w:name="_Toc21573"/>
      <w:bookmarkStart w:id="1171" w:name="_Toc4056047"/>
      <w:r>
        <w:rPr>
          <w:rFonts w:hint="eastAsia" w:ascii="宋体" w:hAnsi="宋体" w:eastAsia="宋体" w:cs="宋体"/>
          <w:sz w:val="22"/>
          <w:szCs w:val="32"/>
        </w:rPr>
        <w:t>关于工程保险的特别约定：</w:t>
      </w:r>
      <w:r>
        <w:rPr>
          <w:rFonts w:hint="eastAsia" w:ascii="宋体" w:hAnsi="宋体" w:eastAsia="宋体" w:cs="宋体"/>
          <w:sz w:val="22"/>
          <w:szCs w:val="32"/>
          <w:u w:val="single"/>
        </w:rPr>
        <w:t>执行通用条款18.1</w:t>
      </w:r>
      <w:r>
        <w:rPr>
          <w:rFonts w:hint="eastAsia" w:ascii="宋体" w:hAnsi="宋体" w:eastAsia="宋体" w:cs="宋体"/>
          <w:sz w:val="22"/>
          <w:szCs w:val="32"/>
        </w:rPr>
        <w:t>。</w:t>
      </w:r>
      <w:bookmarkEnd w:id="1169"/>
      <w:bookmarkEnd w:id="1170"/>
      <w:bookmarkEnd w:id="117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72" w:name="_Toc4055513"/>
      <w:bookmarkStart w:id="1173" w:name="_Toc4056048"/>
      <w:bookmarkStart w:id="1174" w:name="_Toc1614"/>
      <w:r>
        <w:rPr>
          <w:rFonts w:hint="eastAsia" w:ascii="宋体" w:hAnsi="宋体" w:eastAsia="宋体" w:cs="宋体"/>
          <w:sz w:val="22"/>
          <w:szCs w:val="32"/>
        </w:rPr>
        <w:t>18.3 其他保险</w:t>
      </w:r>
      <w:bookmarkEnd w:id="1172"/>
      <w:bookmarkEnd w:id="1173"/>
      <w:bookmarkEnd w:id="117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75" w:name="_Toc4056049"/>
      <w:bookmarkStart w:id="1176" w:name="_Toc4055514"/>
      <w:bookmarkStart w:id="1177" w:name="_Toc15295"/>
      <w:r>
        <w:rPr>
          <w:rFonts w:hint="eastAsia" w:ascii="宋体" w:hAnsi="宋体" w:eastAsia="宋体" w:cs="宋体"/>
          <w:sz w:val="22"/>
          <w:szCs w:val="32"/>
        </w:rPr>
        <w:t>关于其他保险的约定：</w:t>
      </w:r>
      <w:r>
        <w:rPr>
          <w:rFonts w:hint="eastAsia" w:ascii="宋体" w:hAnsi="宋体" w:eastAsia="宋体" w:cs="宋体"/>
          <w:sz w:val="22"/>
          <w:szCs w:val="32"/>
          <w:u w:val="single"/>
        </w:rPr>
        <w:t>执行通用合同条款18.3</w:t>
      </w:r>
      <w:r>
        <w:rPr>
          <w:rFonts w:hint="eastAsia" w:ascii="宋体" w:hAnsi="宋体" w:eastAsia="宋体" w:cs="宋体"/>
          <w:sz w:val="22"/>
          <w:szCs w:val="32"/>
        </w:rPr>
        <w:t>。</w:t>
      </w:r>
      <w:bookmarkEnd w:id="1175"/>
      <w:bookmarkEnd w:id="1176"/>
      <w:bookmarkEnd w:id="117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78" w:name="_Toc4056050"/>
      <w:bookmarkStart w:id="1179" w:name="_Toc16121"/>
      <w:bookmarkStart w:id="1180" w:name="_Toc4055515"/>
      <w:r>
        <w:rPr>
          <w:rFonts w:hint="eastAsia" w:ascii="宋体" w:hAnsi="宋体" w:eastAsia="宋体" w:cs="宋体"/>
          <w:sz w:val="22"/>
          <w:szCs w:val="32"/>
        </w:rPr>
        <w:t>承包人是否应为其施工设备等办理财产保险：</w:t>
      </w:r>
      <w:r>
        <w:rPr>
          <w:rFonts w:hint="eastAsia" w:ascii="宋体" w:hAnsi="宋体" w:eastAsia="宋体" w:cs="宋体"/>
          <w:sz w:val="22"/>
          <w:szCs w:val="32"/>
          <w:u w:val="single"/>
        </w:rPr>
        <w:t>办理</w:t>
      </w:r>
      <w:r>
        <w:rPr>
          <w:rFonts w:hint="eastAsia" w:ascii="宋体" w:hAnsi="宋体" w:eastAsia="宋体" w:cs="宋体"/>
          <w:sz w:val="22"/>
          <w:szCs w:val="32"/>
        </w:rPr>
        <w:t>。</w:t>
      </w:r>
      <w:bookmarkEnd w:id="1178"/>
      <w:bookmarkEnd w:id="1179"/>
      <w:bookmarkEnd w:id="118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81" w:name="_Toc4056051"/>
      <w:bookmarkStart w:id="1182" w:name="_Toc4055516"/>
      <w:bookmarkStart w:id="1183" w:name="_Toc30742"/>
      <w:r>
        <w:rPr>
          <w:rFonts w:hint="eastAsia" w:ascii="宋体" w:hAnsi="宋体" w:eastAsia="宋体" w:cs="宋体"/>
          <w:sz w:val="22"/>
          <w:szCs w:val="32"/>
        </w:rPr>
        <w:t>18.7 通知义务</w:t>
      </w:r>
      <w:bookmarkEnd w:id="1181"/>
      <w:bookmarkEnd w:id="1182"/>
      <w:bookmarkEnd w:id="118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84" w:name="_Toc15378"/>
      <w:bookmarkStart w:id="1185" w:name="_Toc4055517"/>
      <w:bookmarkStart w:id="1186" w:name="_Toc4056052"/>
      <w:r>
        <w:rPr>
          <w:rFonts w:hint="eastAsia" w:ascii="宋体" w:hAnsi="宋体" w:eastAsia="宋体" w:cs="宋体"/>
          <w:sz w:val="22"/>
          <w:szCs w:val="32"/>
        </w:rPr>
        <w:t>关于变更保险合同时的通知义务的约定：</w:t>
      </w:r>
      <w:r>
        <w:rPr>
          <w:rFonts w:hint="eastAsia" w:ascii="宋体" w:hAnsi="宋体" w:eastAsia="宋体" w:cs="宋体"/>
          <w:sz w:val="22"/>
          <w:szCs w:val="32"/>
          <w:u w:val="single"/>
        </w:rPr>
        <w:t>执行通用合同条款18.7</w:t>
      </w:r>
      <w:r>
        <w:rPr>
          <w:rFonts w:hint="eastAsia" w:ascii="宋体" w:hAnsi="宋体" w:eastAsia="宋体" w:cs="宋体"/>
          <w:sz w:val="22"/>
          <w:szCs w:val="32"/>
        </w:rPr>
        <w:t>。</w:t>
      </w:r>
      <w:bookmarkEnd w:id="1184"/>
      <w:bookmarkEnd w:id="1185"/>
      <w:bookmarkEnd w:id="1186"/>
    </w:p>
    <w:p>
      <w:pPr>
        <w:keepNext w:val="0"/>
        <w:keepLines w:val="0"/>
        <w:kinsoku/>
        <w:wordWrap/>
        <w:overflowPunct/>
        <w:topLinePunct w:val="0"/>
        <w:autoSpaceDE w:val="0"/>
        <w:autoSpaceDN w:val="0"/>
        <w:bidi w:val="0"/>
        <w:adjustRightInd/>
        <w:snapToGrid/>
        <w:spacing w:line="400" w:lineRule="exact"/>
        <w:ind w:firstLine="442" w:firstLineChars="200"/>
        <w:jc w:val="left"/>
        <w:textAlignment w:val="auto"/>
        <w:outlineLvl w:val="9"/>
        <w:rPr>
          <w:rFonts w:hint="eastAsia" w:ascii="宋体" w:hAnsi="宋体" w:eastAsia="宋体" w:cs="宋体"/>
          <w:b/>
          <w:bCs/>
          <w:sz w:val="22"/>
          <w:szCs w:val="32"/>
        </w:rPr>
      </w:pPr>
      <w:bookmarkStart w:id="1187" w:name="_Toc4056053"/>
      <w:bookmarkStart w:id="1188" w:name="_Toc4055518"/>
      <w:bookmarkStart w:id="1189" w:name="_Toc15128"/>
      <w:r>
        <w:rPr>
          <w:rFonts w:hint="eastAsia" w:ascii="宋体" w:hAnsi="宋体" w:eastAsia="宋体" w:cs="宋体"/>
          <w:b/>
          <w:bCs/>
          <w:sz w:val="22"/>
          <w:szCs w:val="32"/>
        </w:rPr>
        <w:t>20.争议解决</w:t>
      </w:r>
      <w:bookmarkEnd w:id="1187"/>
      <w:bookmarkEnd w:id="1188"/>
      <w:bookmarkEnd w:id="118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90" w:name="_Toc21060"/>
      <w:bookmarkStart w:id="1191" w:name="_Toc4056054"/>
      <w:bookmarkStart w:id="1192" w:name="_Toc4055519"/>
      <w:r>
        <w:rPr>
          <w:rFonts w:hint="eastAsia" w:ascii="宋体" w:hAnsi="宋体" w:eastAsia="宋体" w:cs="宋体"/>
          <w:sz w:val="22"/>
          <w:szCs w:val="32"/>
        </w:rPr>
        <w:t>20.3 争议评审</w:t>
      </w:r>
      <w:bookmarkEnd w:id="1190"/>
      <w:bookmarkEnd w:id="1191"/>
      <w:bookmarkEnd w:id="119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93" w:name="_Toc4055520"/>
      <w:bookmarkStart w:id="1194" w:name="_Toc12408"/>
      <w:bookmarkStart w:id="1195" w:name="_Toc4056055"/>
      <w:r>
        <w:rPr>
          <w:rFonts w:hint="eastAsia" w:ascii="宋体" w:hAnsi="宋体" w:eastAsia="宋体" w:cs="宋体"/>
          <w:sz w:val="22"/>
          <w:szCs w:val="32"/>
        </w:rPr>
        <w:t>合同当事人是否同意将工程争议提交争议评审小组决定：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193"/>
      <w:bookmarkEnd w:id="1194"/>
      <w:bookmarkEnd w:id="1195"/>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196" w:name="_Toc18787"/>
      <w:bookmarkStart w:id="1197" w:name="_Toc4056056"/>
      <w:bookmarkStart w:id="1198" w:name="_Toc4055521"/>
      <w:r>
        <w:rPr>
          <w:rFonts w:hint="eastAsia" w:ascii="宋体" w:hAnsi="宋体" w:eastAsia="宋体" w:cs="宋体"/>
          <w:sz w:val="22"/>
          <w:szCs w:val="32"/>
        </w:rPr>
        <w:t>20.3.1 争议评审小组的确定</w:t>
      </w:r>
      <w:bookmarkEnd w:id="1196"/>
      <w:bookmarkEnd w:id="1197"/>
      <w:bookmarkEnd w:id="1198"/>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u w:val="single"/>
        </w:rPr>
      </w:pPr>
      <w:bookmarkStart w:id="1199" w:name="_Toc18426"/>
      <w:bookmarkStart w:id="1200" w:name="_Toc4056057"/>
      <w:bookmarkStart w:id="1201" w:name="_Toc4055522"/>
      <w:r>
        <w:rPr>
          <w:rFonts w:hint="eastAsia" w:ascii="宋体" w:hAnsi="宋体" w:eastAsia="宋体" w:cs="宋体"/>
          <w:sz w:val="22"/>
          <w:szCs w:val="32"/>
        </w:rPr>
        <w:t>争议评审小组成员的确定：</w:t>
      </w:r>
      <w:r>
        <w:rPr>
          <w:rFonts w:hint="eastAsia" w:ascii="宋体" w:hAnsi="宋体" w:eastAsia="宋体" w:cs="宋体"/>
          <w:sz w:val="22"/>
          <w:szCs w:val="32"/>
          <w:u w:val="single"/>
        </w:rPr>
        <w:t xml:space="preserve">/ </w:t>
      </w:r>
      <w:r>
        <w:rPr>
          <w:rFonts w:hint="eastAsia" w:ascii="宋体" w:hAnsi="宋体" w:eastAsia="宋体" w:cs="宋体"/>
          <w:sz w:val="22"/>
          <w:szCs w:val="32"/>
        </w:rPr>
        <w:t xml:space="preserve"> 。</w:t>
      </w:r>
      <w:bookmarkEnd w:id="1199"/>
      <w:bookmarkEnd w:id="1200"/>
      <w:bookmarkEnd w:id="1201"/>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202" w:name="_Toc1120"/>
      <w:bookmarkStart w:id="1203" w:name="_Toc4056058"/>
      <w:bookmarkStart w:id="1204" w:name="_Toc4055523"/>
      <w:r>
        <w:rPr>
          <w:rFonts w:hint="eastAsia" w:ascii="宋体" w:hAnsi="宋体" w:eastAsia="宋体" w:cs="宋体"/>
          <w:sz w:val="22"/>
          <w:szCs w:val="32"/>
        </w:rPr>
        <w:t>选定争议评审员的期限：</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202"/>
      <w:bookmarkEnd w:id="1203"/>
      <w:bookmarkEnd w:id="1204"/>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205" w:name="_Toc4055524"/>
      <w:bookmarkStart w:id="1206" w:name="_Toc4056059"/>
      <w:bookmarkStart w:id="1207" w:name="_Toc10782"/>
      <w:r>
        <w:rPr>
          <w:rFonts w:hint="eastAsia" w:ascii="宋体" w:hAnsi="宋体" w:eastAsia="宋体" w:cs="宋体"/>
          <w:sz w:val="22"/>
          <w:szCs w:val="32"/>
        </w:rPr>
        <w:t>争议评审小组成员的报酬承担方式：</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205"/>
      <w:bookmarkEnd w:id="1206"/>
      <w:bookmarkEnd w:id="1207"/>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208" w:name="_Toc24001"/>
      <w:bookmarkStart w:id="1209" w:name="_Toc4055525"/>
      <w:bookmarkStart w:id="1210" w:name="_Toc4056060"/>
      <w:r>
        <w:rPr>
          <w:rFonts w:hint="eastAsia" w:ascii="宋体" w:hAnsi="宋体" w:eastAsia="宋体" w:cs="宋体"/>
          <w:sz w:val="22"/>
          <w:szCs w:val="32"/>
        </w:rPr>
        <w:t>其他事项的约定：</w:t>
      </w:r>
      <w:r>
        <w:rPr>
          <w:rFonts w:hint="eastAsia" w:ascii="宋体" w:hAnsi="宋体" w:eastAsia="宋体" w:cs="宋体"/>
          <w:sz w:val="22"/>
          <w:szCs w:val="32"/>
          <w:u w:val="single"/>
        </w:rPr>
        <w:t xml:space="preserve">/ </w:t>
      </w:r>
      <w:r>
        <w:rPr>
          <w:rFonts w:hint="eastAsia" w:ascii="宋体" w:hAnsi="宋体" w:eastAsia="宋体" w:cs="宋体"/>
          <w:sz w:val="22"/>
          <w:szCs w:val="32"/>
        </w:rPr>
        <w:t>。</w:t>
      </w:r>
      <w:bookmarkEnd w:id="1208"/>
      <w:bookmarkEnd w:id="1209"/>
      <w:bookmarkEnd w:id="1210"/>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211" w:name="_Toc29494"/>
      <w:bookmarkStart w:id="1212" w:name="_Toc4056061"/>
      <w:bookmarkStart w:id="1213" w:name="_Toc4055526"/>
      <w:r>
        <w:rPr>
          <w:rFonts w:hint="eastAsia" w:ascii="宋体" w:hAnsi="宋体" w:eastAsia="宋体" w:cs="宋体"/>
          <w:sz w:val="22"/>
          <w:szCs w:val="32"/>
        </w:rPr>
        <w:t>20.3.2 争议评审小组的决定</w:t>
      </w:r>
      <w:bookmarkEnd w:id="1211"/>
      <w:bookmarkEnd w:id="1212"/>
      <w:bookmarkEnd w:id="1213"/>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214" w:name="_Toc1259"/>
      <w:bookmarkStart w:id="1215" w:name="_Toc4055527"/>
      <w:bookmarkStart w:id="1216" w:name="_Toc4056062"/>
      <w:r>
        <w:rPr>
          <w:rFonts w:hint="eastAsia" w:ascii="宋体" w:hAnsi="宋体" w:eastAsia="宋体" w:cs="宋体"/>
          <w:sz w:val="22"/>
          <w:szCs w:val="32"/>
        </w:rPr>
        <w:t>合同当事人关于本项的约定：</w:t>
      </w:r>
      <w:r>
        <w:rPr>
          <w:rFonts w:hint="eastAsia" w:ascii="宋体" w:hAnsi="宋体" w:eastAsia="宋体" w:cs="宋体"/>
          <w:sz w:val="22"/>
          <w:szCs w:val="32"/>
          <w:u w:val="single"/>
        </w:rPr>
        <w:t xml:space="preserve"> / </w:t>
      </w:r>
      <w:r>
        <w:rPr>
          <w:rFonts w:hint="eastAsia" w:ascii="宋体" w:hAnsi="宋体" w:eastAsia="宋体" w:cs="宋体"/>
          <w:sz w:val="22"/>
          <w:szCs w:val="32"/>
        </w:rPr>
        <w:t>。</w:t>
      </w:r>
      <w:bookmarkEnd w:id="1214"/>
      <w:bookmarkEnd w:id="1215"/>
      <w:bookmarkEnd w:id="1216"/>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217" w:name="_Toc19146"/>
      <w:bookmarkStart w:id="1218" w:name="_Toc4056063"/>
      <w:bookmarkStart w:id="1219" w:name="_Toc4055528"/>
      <w:r>
        <w:rPr>
          <w:rFonts w:hint="eastAsia" w:ascii="宋体" w:hAnsi="宋体" w:eastAsia="宋体" w:cs="宋体"/>
          <w:sz w:val="22"/>
          <w:szCs w:val="32"/>
        </w:rPr>
        <w:t>20.4仲裁或诉讼</w:t>
      </w:r>
      <w:bookmarkEnd w:id="1217"/>
      <w:bookmarkEnd w:id="1218"/>
      <w:bookmarkEnd w:id="1219"/>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220" w:name="_Toc12354"/>
      <w:bookmarkStart w:id="1221" w:name="_Toc4055529"/>
      <w:bookmarkStart w:id="1222" w:name="_Toc4056064"/>
      <w:r>
        <w:rPr>
          <w:rFonts w:hint="eastAsia" w:ascii="宋体" w:hAnsi="宋体" w:eastAsia="宋体" w:cs="宋体"/>
          <w:sz w:val="22"/>
          <w:szCs w:val="32"/>
        </w:rPr>
        <w:t>因合同及合同有关事项发生的争议，按下列第</w:t>
      </w:r>
      <w:r>
        <w:rPr>
          <w:rFonts w:hint="eastAsia" w:ascii="宋体" w:hAnsi="宋体" w:eastAsia="宋体" w:cs="宋体"/>
          <w:sz w:val="22"/>
          <w:szCs w:val="32"/>
          <w:u w:val="single"/>
        </w:rPr>
        <w:t>（2）</w:t>
      </w:r>
      <w:r>
        <w:rPr>
          <w:rFonts w:hint="eastAsia" w:ascii="宋体" w:hAnsi="宋体" w:eastAsia="宋体" w:cs="宋体"/>
          <w:sz w:val="22"/>
          <w:szCs w:val="32"/>
        </w:rPr>
        <w:t>种方式解决：</w:t>
      </w:r>
      <w:bookmarkEnd w:id="1220"/>
      <w:bookmarkEnd w:id="1221"/>
      <w:bookmarkEnd w:id="1222"/>
    </w:p>
    <w:p>
      <w:pPr>
        <w:keepNext w:val="0"/>
        <w:keepLines w:val="0"/>
        <w:kinsoku/>
        <w:wordWrap/>
        <w:overflowPunct/>
        <w:topLinePunct w:val="0"/>
        <w:autoSpaceDE w:val="0"/>
        <w:autoSpaceDN w:val="0"/>
        <w:bidi w:val="0"/>
        <w:adjustRightInd/>
        <w:snapToGrid/>
        <w:spacing w:line="400" w:lineRule="exact"/>
        <w:ind w:firstLine="440" w:firstLineChars="200"/>
        <w:jc w:val="left"/>
        <w:textAlignment w:val="auto"/>
        <w:outlineLvl w:val="9"/>
        <w:rPr>
          <w:rFonts w:hint="eastAsia" w:ascii="宋体" w:hAnsi="宋体" w:eastAsia="宋体" w:cs="宋体"/>
          <w:sz w:val="22"/>
          <w:szCs w:val="32"/>
        </w:rPr>
      </w:pPr>
      <w:bookmarkStart w:id="1223" w:name="_Toc4056065"/>
      <w:bookmarkStart w:id="1224" w:name="_Toc4055530"/>
      <w:bookmarkStart w:id="1225" w:name="_Toc145"/>
      <w:r>
        <w:rPr>
          <w:rFonts w:hint="eastAsia" w:ascii="宋体" w:hAnsi="宋体" w:eastAsia="宋体" w:cs="宋体"/>
          <w:sz w:val="22"/>
          <w:szCs w:val="32"/>
        </w:rPr>
        <w:t>（1）向</w:t>
      </w:r>
      <w:r>
        <w:rPr>
          <w:rFonts w:hint="eastAsia" w:ascii="宋体" w:hAnsi="宋体" w:eastAsia="宋体" w:cs="宋体"/>
          <w:sz w:val="22"/>
          <w:szCs w:val="32"/>
          <w:u w:val="single"/>
        </w:rPr>
        <w:t xml:space="preserve">   /   </w:t>
      </w:r>
      <w:r>
        <w:rPr>
          <w:rFonts w:hint="eastAsia" w:ascii="宋体" w:hAnsi="宋体" w:eastAsia="宋体" w:cs="宋体"/>
          <w:sz w:val="22"/>
          <w:szCs w:val="32"/>
        </w:rPr>
        <w:t>仲裁委员会申请仲裁；</w:t>
      </w:r>
      <w:bookmarkEnd w:id="1223"/>
      <w:bookmarkEnd w:id="1224"/>
      <w:bookmarkEnd w:id="1225"/>
    </w:p>
    <w:p>
      <w:pPr>
        <w:keepNext w:val="0"/>
        <w:keepLines w:val="0"/>
        <w:pageBreakBefore w:val="0"/>
        <w:widowControl w:val="0"/>
        <w:kinsoku/>
        <w:wordWrap/>
        <w:overflowPunct/>
        <w:topLinePunct w:val="0"/>
        <w:autoSpaceDE w:val="0"/>
        <w:autoSpaceDN w:val="0"/>
        <w:bidi w:val="0"/>
        <w:adjustRightInd/>
        <w:snapToGrid/>
        <w:spacing w:after="0"/>
        <w:ind w:firstLine="440" w:firstLineChars="200"/>
        <w:jc w:val="both"/>
        <w:textAlignment w:val="auto"/>
        <w:outlineLvl w:val="9"/>
        <w:rPr>
          <w:rFonts w:hint="eastAsia" w:ascii="宋体" w:hAnsi="宋体" w:eastAsia="宋体" w:cs="宋体"/>
          <w:kern w:val="0"/>
          <w:szCs w:val="21"/>
        </w:rPr>
      </w:pPr>
      <w:bookmarkStart w:id="1226" w:name="_Toc4055531"/>
      <w:bookmarkStart w:id="1227" w:name="_Toc4056066"/>
      <w:bookmarkStart w:id="1228" w:name="_Toc9965"/>
      <w:r>
        <w:rPr>
          <w:rFonts w:hint="eastAsia" w:ascii="宋体" w:hAnsi="宋体" w:eastAsia="宋体" w:cs="宋体"/>
          <w:sz w:val="22"/>
          <w:szCs w:val="32"/>
        </w:rPr>
        <w:t>（2）向</w:t>
      </w:r>
      <w:r>
        <w:rPr>
          <w:rFonts w:hint="eastAsia" w:ascii="宋体" w:hAnsi="宋体" w:eastAsia="宋体" w:cs="宋体"/>
          <w:sz w:val="22"/>
          <w:szCs w:val="32"/>
          <w:u w:val="single"/>
        </w:rPr>
        <w:t xml:space="preserve">项目所在地 </w:t>
      </w:r>
      <w:r>
        <w:rPr>
          <w:rFonts w:hint="eastAsia" w:ascii="宋体" w:hAnsi="宋体" w:eastAsia="宋体" w:cs="宋体"/>
          <w:sz w:val="22"/>
          <w:szCs w:val="32"/>
        </w:rPr>
        <w:t>人民法院起诉。</w:t>
      </w:r>
      <w:bookmarkEnd w:id="1226"/>
      <w:bookmarkEnd w:id="1227"/>
      <w:bookmarkEnd w:id="1228"/>
    </w:p>
    <w:p>
      <w:pPr>
        <w:keepNext w:val="0"/>
        <w:keepLines w:val="0"/>
        <w:pageBreakBefore w:val="0"/>
        <w:widowControl w:val="0"/>
        <w:kinsoku/>
        <w:wordWrap/>
        <w:overflowPunct/>
        <w:topLinePunct w:val="0"/>
        <w:autoSpaceDE w:val="0"/>
        <w:autoSpaceDN w:val="0"/>
        <w:bidi w:val="0"/>
        <w:adjustRightInd/>
        <w:snapToGrid/>
        <w:spacing w:after="0"/>
        <w:jc w:val="center"/>
        <w:textAlignment w:val="auto"/>
        <w:outlineLvl w:val="9"/>
        <w:rPr>
          <w:rFonts w:hint="eastAsia" w:ascii="宋体" w:hAnsi="宋体" w:eastAsia="宋体" w:cs="宋体"/>
        </w:rPr>
      </w:pPr>
    </w:p>
    <w:p>
      <w:pPr>
        <w:keepLines w:val="0"/>
        <w:kinsoku/>
        <w:overflowPunct/>
        <w:bidi w:val="0"/>
        <w:snapToGrid/>
        <w:spacing w:line="360" w:lineRule="auto"/>
        <w:jc w:val="left"/>
        <w:outlineLvl w:val="9"/>
        <w:rPr>
          <w:rFonts w:hint="eastAsia" w:ascii="宋体" w:hAnsi="宋体" w:eastAsia="宋体" w:cs="宋体"/>
          <w:b/>
          <w:sz w:val="24"/>
          <w:szCs w:val="32"/>
        </w:rPr>
      </w:pPr>
      <w:bookmarkStart w:id="1229" w:name="_bookmark5"/>
      <w:bookmarkEnd w:id="1229"/>
      <w:r>
        <w:rPr>
          <w:rFonts w:hint="eastAsia" w:ascii="宋体" w:hAnsi="宋体" w:eastAsia="宋体" w:cs="宋体"/>
          <w:b/>
          <w:sz w:val="30"/>
        </w:rPr>
        <w:br w:type="page"/>
      </w:r>
      <w:bookmarkStart w:id="1230" w:name="_Toc351203652"/>
      <w:r>
        <w:rPr>
          <w:rFonts w:hint="eastAsia" w:ascii="宋体" w:hAnsi="宋体" w:eastAsia="宋体" w:cs="宋体"/>
          <w:b/>
          <w:sz w:val="24"/>
          <w:szCs w:val="32"/>
        </w:rPr>
        <w:t>附件</w:t>
      </w:r>
      <w:bookmarkEnd w:id="1230"/>
    </w:p>
    <w:p>
      <w:pPr>
        <w:keepLines w:val="0"/>
        <w:kinsoku/>
        <w:overflowPunct/>
        <w:bidi w:val="0"/>
        <w:snapToGrid/>
        <w:spacing w:line="360" w:lineRule="auto"/>
        <w:jc w:val="left"/>
        <w:outlineLvl w:val="9"/>
        <w:rPr>
          <w:rFonts w:hint="eastAsia" w:ascii="宋体" w:hAnsi="宋体" w:eastAsia="宋体" w:cs="宋体"/>
          <w:sz w:val="22"/>
          <w:szCs w:val="32"/>
        </w:rPr>
      </w:pPr>
      <w:r>
        <w:rPr>
          <w:rFonts w:hint="eastAsia" w:ascii="宋体" w:hAnsi="宋体" w:eastAsia="宋体" w:cs="宋体"/>
          <w:sz w:val="22"/>
          <w:szCs w:val="32"/>
        </w:rPr>
        <w:t>协议书附件：</w:t>
      </w:r>
    </w:p>
    <w:p>
      <w:pPr>
        <w:keepLines w:val="0"/>
        <w:kinsoku/>
        <w:overflowPunct/>
        <w:bidi w:val="0"/>
        <w:snapToGrid/>
        <w:spacing w:line="360" w:lineRule="auto"/>
        <w:jc w:val="left"/>
        <w:outlineLvl w:val="9"/>
        <w:rPr>
          <w:rFonts w:hint="eastAsia" w:ascii="宋体" w:hAnsi="宋体" w:eastAsia="宋体" w:cs="宋体"/>
          <w:sz w:val="22"/>
          <w:szCs w:val="32"/>
        </w:rPr>
      </w:pPr>
      <w:r>
        <w:rPr>
          <w:rFonts w:hint="eastAsia" w:ascii="宋体" w:hAnsi="宋体" w:eastAsia="宋体" w:cs="宋体"/>
          <w:sz w:val="22"/>
          <w:szCs w:val="32"/>
        </w:rPr>
        <w:t>附件1：承包人承揽工程项目一览表</w:t>
      </w:r>
    </w:p>
    <w:p>
      <w:pPr>
        <w:keepLines w:val="0"/>
        <w:kinsoku/>
        <w:overflowPunct/>
        <w:bidi w:val="0"/>
        <w:snapToGrid/>
        <w:spacing w:line="360" w:lineRule="auto"/>
        <w:jc w:val="left"/>
        <w:outlineLvl w:val="9"/>
        <w:rPr>
          <w:rFonts w:hint="eastAsia" w:ascii="宋体" w:hAnsi="宋体" w:eastAsia="宋体" w:cs="宋体"/>
          <w:sz w:val="22"/>
          <w:szCs w:val="32"/>
        </w:rPr>
      </w:pPr>
      <w:r>
        <w:rPr>
          <w:rFonts w:hint="eastAsia" w:ascii="宋体" w:hAnsi="宋体" w:eastAsia="宋体" w:cs="宋体"/>
          <w:sz w:val="22"/>
          <w:szCs w:val="32"/>
        </w:rPr>
        <w:t>附件2：主要建设工程文件目录</w:t>
      </w:r>
    </w:p>
    <w:p>
      <w:pPr>
        <w:keepLines w:val="0"/>
        <w:kinsoku/>
        <w:overflowPunct/>
        <w:bidi w:val="0"/>
        <w:snapToGrid/>
        <w:spacing w:line="360" w:lineRule="auto"/>
        <w:jc w:val="left"/>
        <w:outlineLvl w:val="9"/>
        <w:rPr>
          <w:rFonts w:hint="eastAsia" w:ascii="宋体" w:hAnsi="宋体" w:eastAsia="宋体" w:cs="宋体"/>
          <w:sz w:val="22"/>
          <w:szCs w:val="32"/>
        </w:rPr>
      </w:pPr>
      <w:r>
        <w:rPr>
          <w:rFonts w:hint="eastAsia" w:ascii="宋体" w:hAnsi="宋体" w:eastAsia="宋体" w:cs="宋体"/>
          <w:sz w:val="22"/>
          <w:szCs w:val="32"/>
        </w:rPr>
        <w:t>附件3：承包人用于本工程施工的机械设备表</w:t>
      </w:r>
    </w:p>
    <w:p>
      <w:pPr>
        <w:keepLines w:val="0"/>
        <w:kinsoku/>
        <w:overflowPunct/>
        <w:bidi w:val="0"/>
        <w:snapToGrid/>
        <w:spacing w:line="360" w:lineRule="auto"/>
        <w:jc w:val="left"/>
        <w:outlineLvl w:val="9"/>
        <w:rPr>
          <w:rFonts w:hint="eastAsia" w:ascii="宋体" w:hAnsi="宋体" w:eastAsia="宋体" w:cs="宋体"/>
          <w:sz w:val="22"/>
          <w:szCs w:val="32"/>
        </w:rPr>
      </w:pPr>
      <w:r>
        <w:rPr>
          <w:rFonts w:hint="eastAsia" w:ascii="宋体" w:hAnsi="宋体" w:eastAsia="宋体" w:cs="宋体"/>
          <w:sz w:val="22"/>
          <w:szCs w:val="32"/>
        </w:rPr>
        <w:t>附件4：承包人主要施工管理人员表</w:t>
      </w:r>
    </w:p>
    <w:p>
      <w:pPr>
        <w:keepLines w:val="0"/>
        <w:kinsoku/>
        <w:overflowPunct/>
        <w:bidi w:val="0"/>
        <w:snapToGrid/>
        <w:spacing w:line="360" w:lineRule="auto"/>
        <w:jc w:val="left"/>
        <w:outlineLvl w:val="9"/>
        <w:rPr>
          <w:rFonts w:hint="eastAsia" w:ascii="宋体" w:hAnsi="宋体" w:eastAsia="宋体" w:cs="宋体"/>
          <w:sz w:val="22"/>
          <w:szCs w:val="32"/>
        </w:rPr>
      </w:pPr>
      <w:r>
        <w:rPr>
          <w:rFonts w:hint="eastAsia" w:ascii="宋体" w:hAnsi="宋体" w:eastAsia="宋体" w:cs="宋体"/>
          <w:sz w:val="22"/>
          <w:szCs w:val="32"/>
        </w:rPr>
        <w:t>附件5：材料暂估价表</w:t>
      </w: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keepLines w:val="0"/>
        <w:kinsoku/>
        <w:overflowPunct/>
        <w:bidi w:val="0"/>
        <w:snapToGrid/>
        <w:spacing w:line="360" w:lineRule="auto"/>
        <w:jc w:val="left"/>
        <w:outlineLvl w:val="9"/>
        <w:rPr>
          <w:rFonts w:hint="eastAsia" w:ascii="宋体" w:hAnsi="宋体" w:eastAsia="宋体" w:cs="宋体"/>
          <w:sz w:val="22"/>
          <w:szCs w:val="32"/>
        </w:rPr>
      </w:pPr>
    </w:p>
    <w:p>
      <w:pPr>
        <w:pStyle w:val="32"/>
        <w:keepLines w:val="0"/>
        <w:kinsoku/>
        <w:overflowPunct/>
        <w:bidi w:val="0"/>
        <w:snapToGrid/>
        <w:outlineLvl w:val="9"/>
        <w:rPr>
          <w:rFonts w:hint="eastAsia" w:ascii="宋体" w:hAnsi="宋体" w:eastAsia="宋体" w:cs="宋体"/>
        </w:rPr>
      </w:pPr>
    </w:p>
    <w:p>
      <w:pPr>
        <w:pStyle w:val="32"/>
        <w:keepLines w:val="0"/>
        <w:kinsoku/>
        <w:overflowPunct/>
        <w:bidi w:val="0"/>
        <w:snapToGrid/>
        <w:outlineLvl w:val="9"/>
        <w:rPr>
          <w:rFonts w:hint="eastAsia" w:ascii="宋体" w:hAnsi="宋体" w:eastAsia="宋体" w:cs="宋体"/>
        </w:rPr>
      </w:pPr>
    </w:p>
    <w:p>
      <w:pPr>
        <w:pStyle w:val="32"/>
        <w:keepLines w:val="0"/>
        <w:kinsoku/>
        <w:overflowPunct/>
        <w:bidi w:val="0"/>
        <w:snapToGrid/>
        <w:outlineLvl w:val="9"/>
        <w:rPr>
          <w:rFonts w:hint="eastAsia" w:ascii="宋体" w:hAnsi="宋体" w:eastAsia="宋体" w:cs="宋体"/>
        </w:rPr>
      </w:pPr>
    </w:p>
    <w:p>
      <w:pPr>
        <w:pStyle w:val="32"/>
        <w:keepLines w:val="0"/>
        <w:kinsoku/>
        <w:overflowPunct/>
        <w:bidi w:val="0"/>
        <w:snapToGrid/>
        <w:outlineLvl w:val="9"/>
        <w:rPr>
          <w:rFonts w:hint="eastAsia" w:ascii="宋体" w:hAnsi="宋体" w:eastAsia="宋体" w:cs="宋体"/>
        </w:rPr>
      </w:pPr>
    </w:p>
    <w:p>
      <w:pPr>
        <w:pStyle w:val="32"/>
        <w:keepLines w:val="0"/>
        <w:kinsoku/>
        <w:overflowPunct/>
        <w:bidi w:val="0"/>
        <w:snapToGrid/>
        <w:outlineLvl w:val="9"/>
        <w:rPr>
          <w:rFonts w:hint="eastAsia" w:ascii="宋体" w:hAnsi="宋体" w:eastAsia="宋体" w:cs="宋体"/>
        </w:rPr>
      </w:pPr>
    </w:p>
    <w:p>
      <w:pPr>
        <w:pStyle w:val="32"/>
        <w:keepLines w:val="0"/>
        <w:kinsoku/>
        <w:overflowPunct/>
        <w:bidi w:val="0"/>
        <w:snapToGrid/>
        <w:outlineLvl w:val="9"/>
        <w:rPr>
          <w:rFonts w:hint="eastAsia" w:ascii="宋体" w:hAnsi="宋体" w:eastAsia="宋体" w:cs="宋体"/>
        </w:rPr>
      </w:pPr>
    </w:p>
    <w:p>
      <w:pPr>
        <w:pStyle w:val="32"/>
        <w:keepLines w:val="0"/>
        <w:kinsoku/>
        <w:overflowPunct/>
        <w:bidi w:val="0"/>
        <w:snapToGrid/>
        <w:outlineLvl w:val="9"/>
        <w:rPr>
          <w:rFonts w:hint="eastAsia" w:ascii="宋体" w:hAnsi="宋体" w:eastAsia="宋体" w:cs="宋体"/>
        </w:rPr>
      </w:pPr>
    </w:p>
    <w:p>
      <w:pPr>
        <w:pStyle w:val="32"/>
        <w:keepLines w:val="0"/>
        <w:kinsoku/>
        <w:overflowPunct/>
        <w:bidi w:val="0"/>
        <w:snapToGrid/>
        <w:outlineLvl w:val="9"/>
        <w:rPr>
          <w:rFonts w:hint="eastAsia" w:ascii="宋体" w:hAnsi="宋体" w:eastAsia="宋体" w:cs="宋体"/>
        </w:rPr>
      </w:pPr>
    </w:p>
    <w:p>
      <w:pPr>
        <w:pStyle w:val="32"/>
        <w:keepLines w:val="0"/>
        <w:kinsoku/>
        <w:overflowPunct/>
        <w:bidi w:val="0"/>
        <w:snapToGrid/>
        <w:outlineLvl w:val="9"/>
        <w:rPr>
          <w:rFonts w:hint="eastAsia" w:ascii="宋体" w:hAnsi="宋体" w:eastAsia="宋体" w:cs="宋体"/>
        </w:rPr>
      </w:pPr>
    </w:p>
    <w:p>
      <w:pPr>
        <w:keepLines w:val="0"/>
        <w:kinsoku/>
        <w:overflowPunct/>
        <w:bidi w:val="0"/>
        <w:snapToGrid/>
        <w:spacing w:before="120" w:beforeLines="50" w:after="120" w:afterLines="50" w:line="440" w:lineRule="exact"/>
        <w:jc w:val="left"/>
        <w:outlineLvl w:val="9"/>
        <w:rPr>
          <w:rFonts w:hint="eastAsia" w:ascii="宋体" w:hAnsi="宋体" w:eastAsia="宋体" w:cs="宋体"/>
          <w:sz w:val="20"/>
          <w:szCs w:val="30"/>
        </w:rPr>
      </w:pPr>
      <w:r>
        <w:rPr>
          <w:rFonts w:hint="eastAsia" w:ascii="宋体" w:hAnsi="宋体" w:eastAsia="宋体" w:cs="宋体"/>
          <w:sz w:val="20"/>
          <w:szCs w:val="30"/>
        </w:rPr>
        <w:t>附件1：</w:t>
      </w:r>
    </w:p>
    <w:p>
      <w:pPr>
        <w:keepLines w:val="0"/>
        <w:kinsoku/>
        <w:overflowPunct/>
        <w:bidi w:val="0"/>
        <w:snapToGrid/>
        <w:spacing w:before="120" w:beforeLines="50" w:after="120" w:afterLines="50" w:line="440" w:lineRule="exact"/>
        <w:jc w:val="center"/>
        <w:outlineLvl w:val="9"/>
        <w:rPr>
          <w:rFonts w:hint="eastAsia" w:ascii="宋体" w:hAnsi="宋体" w:eastAsia="宋体" w:cs="宋体"/>
          <w:sz w:val="22"/>
          <w:szCs w:val="30"/>
        </w:rPr>
      </w:pPr>
      <w:r>
        <w:rPr>
          <w:rFonts w:hint="eastAsia" w:ascii="宋体" w:hAnsi="宋体" w:eastAsia="宋体" w:cs="宋体"/>
          <w:sz w:val="22"/>
          <w:szCs w:val="30"/>
        </w:rPr>
        <w:t>承包人承揽工程项目一览表</w:t>
      </w:r>
    </w:p>
    <w:tbl>
      <w:tblPr>
        <w:tblStyle w:val="18"/>
        <w:tblW w:w="96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58"/>
        <w:gridCol w:w="1134"/>
        <w:gridCol w:w="992"/>
        <w:gridCol w:w="851"/>
        <w:gridCol w:w="850"/>
        <w:gridCol w:w="851"/>
        <w:gridCol w:w="992"/>
        <w:gridCol w:w="992"/>
        <w:gridCol w:w="709"/>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58"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单位工程名称</w:t>
            </w:r>
          </w:p>
        </w:tc>
        <w:tc>
          <w:tcPr>
            <w:tcW w:w="1134"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建设规模</w:t>
            </w:r>
          </w:p>
        </w:tc>
        <w:tc>
          <w:tcPr>
            <w:tcW w:w="992"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建筑面积(平方米)</w:t>
            </w:r>
          </w:p>
        </w:tc>
        <w:tc>
          <w:tcPr>
            <w:tcW w:w="851"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结构形式</w:t>
            </w:r>
          </w:p>
        </w:tc>
        <w:tc>
          <w:tcPr>
            <w:tcW w:w="850"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层数</w:t>
            </w:r>
          </w:p>
        </w:tc>
        <w:tc>
          <w:tcPr>
            <w:tcW w:w="851"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生产能力</w:t>
            </w:r>
          </w:p>
        </w:tc>
        <w:tc>
          <w:tcPr>
            <w:tcW w:w="992"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设备安装内容</w:t>
            </w:r>
          </w:p>
        </w:tc>
        <w:tc>
          <w:tcPr>
            <w:tcW w:w="992"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合同价格（元）</w:t>
            </w:r>
          </w:p>
        </w:tc>
        <w:tc>
          <w:tcPr>
            <w:tcW w:w="709"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开工日期</w:t>
            </w:r>
          </w:p>
        </w:tc>
        <w:tc>
          <w:tcPr>
            <w:tcW w:w="709"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1"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99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bl>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r>
        <w:rPr>
          <w:rFonts w:hint="eastAsia" w:ascii="宋体" w:hAnsi="宋体" w:eastAsia="宋体" w:cs="宋体"/>
          <w:sz w:val="22"/>
          <w:szCs w:val="30"/>
        </w:rPr>
        <w:t>附件2：</w:t>
      </w:r>
    </w:p>
    <w:p>
      <w:pPr>
        <w:keepLines w:val="0"/>
        <w:kinsoku/>
        <w:overflowPunct/>
        <w:bidi w:val="0"/>
        <w:snapToGrid/>
        <w:spacing w:before="120" w:beforeLines="50" w:after="120" w:afterLines="50" w:line="440" w:lineRule="exact"/>
        <w:jc w:val="center"/>
        <w:outlineLvl w:val="9"/>
        <w:rPr>
          <w:rFonts w:hint="eastAsia" w:ascii="宋体" w:hAnsi="宋体" w:eastAsia="宋体" w:cs="宋体"/>
          <w:sz w:val="22"/>
          <w:szCs w:val="30"/>
        </w:rPr>
      </w:pPr>
      <w:r>
        <w:rPr>
          <w:rFonts w:hint="eastAsia" w:ascii="宋体" w:hAnsi="宋体" w:eastAsia="宋体" w:cs="宋体"/>
          <w:sz w:val="22"/>
          <w:szCs w:val="30"/>
        </w:rPr>
        <w:t>主要建设工程文件目录</w:t>
      </w:r>
    </w:p>
    <w:tbl>
      <w:tblPr>
        <w:tblStyle w:val="18"/>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文件名称</w:t>
            </w:r>
          </w:p>
        </w:tc>
        <w:tc>
          <w:tcPr>
            <w:tcW w:w="1276"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套数</w:t>
            </w:r>
          </w:p>
        </w:tc>
        <w:tc>
          <w:tcPr>
            <w:tcW w:w="1450"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费用（元）</w:t>
            </w:r>
          </w:p>
        </w:tc>
        <w:tc>
          <w:tcPr>
            <w:tcW w:w="1243"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质量</w:t>
            </w:r>
          </w:p>
        </w:tc>
        <w:tc>
          <w:tcPr>
            <w:tcW w:w="1450" w:type="dxa"/>
            <w:tcBorders>
              <w:top w:val="single" w:color="auto" w:sz="12" w:space="0"/>
              <w:bottom w:val="double" w:color="auto" w:sz="6" w:space="0"/>
            </w:tcBorders>
            <w:vAlign w:val="top"/>
          </w:tcPr>
          <w:p>
            <w:pPr>
              <w:keepLines w:val="0"/>
              <w:kinsoku/>
              <w:overflowPunct/>
              <w:bidi w:val="0"/>
              <w:snapToGrid/>
              <w:spacing w:line="440" w:lineRule="exact"/>
              <w:jc w:val="left"/>
              <w:outlineLvl w:val="9"/>
              <w:rPr>
                <w:rFonts w:hint="eastAsia" w:ascii="宋体" w:hAnsi="宋体" w:eastAsia="宋体" w:cs="宋体"/>
                <w:sz w:val="20"/>
                <w:szCs w:val="30"/>
              </w:rPr>
            </w:pPr>
            <w:r>
              <w:rPr>
                <w:rFonts w:hint="eastAsia" w:ascii="宋体" w:hAnsi="宋体" w:eastAsia="宋体" w:cs="宋体"/>
                <w:sz w:val="20"/>
                <w:szCs w:val="30"/>
              </w:rPr>
              <w:t>移交时间</w:t>
            </w:r>
          </w:p>
        </w:tc>
        <w:tc>
          <w:tcPr>
            <w:tcW w:w="1667" w:type="dxa"/>
            <w:tcBorders>
              <w:top w:val="single" w:color="auto" w:sz="12" w:space="0"/>
              <w:bottom w:val="double" w:color="auto" w:sz="6" w:space="0"/>
            </w:tcBorders>
            <w:vAlign w:val="top"/>
          </w:tcPr>
          <w:p>
            <w:pPr>
              <w:keepLines w:val="0"/>
              <w:kinsoku/>
              <w:overflowPunct/>
              <w:bidi w:val="0"/>
              <w:snapToGrid/>
              <w:spacing w:line="440" w:lineRule="exact"/>
              <w:jc w:val="left"/>
              <w:outlineLvl w:val="9"/>
              <w:rPr>
                <w:rFonts w:hint="eastAsia" w:ascii="宋体" w:hAnsi="宋体" w:eastAsia="宋体" w:cs="宋体"/>
                <w:sz w:val="20"/>
                <w:szCs w:val="30"/>
              </w:rPr>
            </w:pPr>
            <w:r>
              <w:rPr>
                <w:rFonts w:hint="eastAsia" w:ascii="宋体" w:hAnsi="宋体" w:eastAsia="宋体" w:cs="宋体"/>
                <w:sz w:val="20"/>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76"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43"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67"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76"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43"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67"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76"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67"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76"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67"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76"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67"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76"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67"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76"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67"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76"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67"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76"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2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67"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keepLines w:val="0"/>
              <w:kinsoku/>
              <w:overflowPunct/>
              <w:bidi w:val="0"/>
              <w:snapToGrid/>
              <w:jc w:val="left"/>
              <w:outlineLvl w:val="9"/>
              <w:rPr>
                <w:rFonts w:hint="eastAsia" w:ascii="宋体" w:hAnsi="宋体" w:eastAsia="宋体" w:cs="宋体"/>
                <w:sz w:val="22"/>
                <w:szCs w:val="30"/>
              </w:rPr>
            </w:pPr>
          </w:p>
        </w:tc>
        <w:tc>
          <w:tcPr>
            <w:tcW w:w="1276"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243" w:type="dxa"/>
            <w:vAlign w:val="top"/>
          </w:tcPr>
          <w:p>
            <w:pPr>
              <w:keepLines w:val="0"/>
              <w:kinsoku/>
              <w:overflowPunct/>
              <w:bidi w:val="0"/>
              <w:snapToGrid/>
              <w:jc w:val="left"/>
              <w:outlineLvl w:val="9"/>
              <w:rPr>
                <w:rFonts w:hint="eastAsia" w:ascii="宋体" w:hAnsi="宋体" w:eastAsia="宋体" w:cs="宋体"/>
                <w:sz w:val="22"/>
                <w:szCs w:val="30"/>
              </w:rPr>
            </w:pPr>
          </w:p>
        </w:tc>
        <w:tc>
          <w:tcPr>
            <w:tcW w:w="1450" w:type="dxa"/>
            <w:vAlign w:val="top"/>
          </w:tcPr>
          <w:p>
            <w:pPr>
              <w:keepLines w:val="0"/>
              <w:kinsoku/>
              <w:overflowPunct/>
              <w:bidi w:val="0"/>
              <w:snapToGrid/>
              <w:jc w:val="left"/>
              <w:outlineLvl w:val="9"/>
              <w:rPr>
                <w:rFonts w:hint="eastAsia" w:ascii="宋体" w:hAnsi="宋体" w:eastAsia="宋体" w:cs="宋体"/>
                <w:sz w:val="22"/>
                <w:szCs w:val="30"/>
              </w:rPr>
            </w:pPr>
          </w:p>
        </w:tc>
        <w:tc>
          <w:tcPr>
            <w:tcW w:w="1667" w:type="dxa"/>
            <w:vAlign w:val="top"/>
          </w:tcPr>
          <w:p>
            <w:pPr>
              <w:keepLines w:val="0"/>
              <w:kinsoku/>
              <w:overflowPunct/>
              <w:bidi w:val="0"/>
              <w:snapToGrid/>
              <w:jc w:val="left"/>
              <w:outlineLvl w:val="9"/>
              <w:rPr>
                <w:rFonts w:hint="eastAsia" w:ascii="宋体" w:hAnsi="宋体" w:eastAsia="宋体" w:cs="宋体"/>
                <w:sz w:val="22"/>
                <w:szCs w:val="30"/>
              </w:rPr>
            </w:pPr>
          </w:p>
        </w:tc>
      </w:tr>
    </w:tbl>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r>
        <w:rPr>
          <w:rFonts w:hint="eastAsia" w:ascii="宋体" w:hAnsi="宋体" w:eastAsia="宋体" w:cs="宋体"/>
          <w:sz w:val="22"/>
          <w:szCs w:val="30"/>
        </w:rPr>
        <w:br w:type="page"/>
      </w:r>
      <w:r>
        <w:rPr>
          <w:rFonts w:hint="eastAsia" w:ascii="宋体" w:hAnsi="宋体" w:eastAsia="宋体" w:cs="宋体"/>
          <w:sz w:val="22"/>
          <w:szCs w:val="30"/>
        </w:rPr>
        <w:t>附</w:t>
      </w:r>
      <w:bookmarkStart w:id="1231" w:name="_Toc296891267"/>
      <w:bookmarkStart w:id="1232" w:name="_Toc296891055"/>
      <w:bookmarkStart w:id="1233" w:name="_Toc267261698"/>
      <w:bookmarkStart w:id="1234" w:name="_Toc296347226"/>
      <w:bookmarkStart w:id="1235" w:name="_Toc296944566"/>
      <w:bookmarkStart w:id="1236" w:name="_Toc296503227"/>
      <w:bookmarkStart w:id="1237" w:name="_Toc296346728"/>
      <w:r>
        <w:rPr>
          <w:rFonts w:hint="eastAsia" w:ascii="宋体" w:hAnsi="宋体" w:eastAsia="宋体" w:cs="宋体"/>
          <w:sz w:val="22"/>
          <w:szCs w:val="30"/>
        </w:rPr>
        <w:t>件3：</w:t>
      </w:r>
    </w:p>
    <w:bookmarkEnd w:id="1231"/>
    <w:bookmarkEnd w:id="1232"/>
    <w:bookmarkEnd w:id="1233"/>
    <w:bookmarkEnd w:id="1234"/>
    <w:bookmarkEnd w:id="1235"/>
    <w:bookmarkEnd w:id="1236"/>
    <w:bookmarkEnd w:id="1237"/>
    <w:p>
      <w:pPr>
        <w:keepLines w:val="0"/>
        <w:kinsoku/>
        <w:overflowPunct/>
        <w:bidi w:val="0"/>
        <w:snapToGrid/>
        <w:spacing w:before="120" w:beforeLines="50" w:after="120" w:afterLines="50" w:line="440" w:lineRule="exact"/>
        <w:jc w:val="center"/>
        <w:outlineLvl w:val="9"/>
        <w:rPr>
          <w:rFonts w:hint="eastAsia" w:ascii="宋体" w:hAnsi="宋体" w:eastAsia="宋体" w:cs="宋体"/>
          <w:sz w:val="22"/>
          <w:szCs w:val="30"/>
        </w:rPr>
      </w:pPr>
      <w:r>
        <w:rPr>
          <w:rFonts w:hint="eastAsia" w:ascii="宋体" w:hAnsi="宋体" w:eastAsia="宋体" w:cs="宋体"/>
          <w:sz w:val="22"/>
          <w:szCs w:val="30"/>
        </w:rPr>
        <w:t>承包人用于本工程施工的机械设备表</w:t>
      </w:r>
    </w:p>
    <w:tbl>
      <w:tblPr>
        <w:tblStyle w:val="18"/>
        <w:tblW w:w="93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09"/>
        <w:gridCol w:w="1643"/>
        <w:gridCol w:w="850"/>
        <w:gridCol w:w="1058"/>
        <w:gridCol w:w="880"/>
        <w:gridCol w:w="1020"/>
        <w:gridCol w:w="1480"/>
        <w:gridCol w:w="1020"/>
        <w:gridCol w:w="6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709"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序号</w:t>
            </w:r>
          </w:p>
        </w:tc>
        <w:tc>
          <w:tcPr>
            <w:tcW w:w="1643"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机械或设备名称</w:t>
            </w:r>
          </w:p>
        </w:tc>
        <w:tc>
          <w:tcPr>
            <w:tcW w:w="850"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规格型号</w:t>
            </w:r>
          </w:p>
        </w:tc>
        <w:tc>
          <w:tcPr>
            <w:tcW w:w="1058"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数量</w:t>
            </w:r>
          </w:p>
        </w:tc>
        <w:tc>
          <w:tcPr>
            <w:tcW w:w="880"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产地</w:t>
            </w:r>
          </w:p>
        </w:tc>
        <w:tc>
          <w:tcPr>
            <w:tcW w:w="1020"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制造年份</w:t>
            </w:r>
          </w:p>
        </w:tc>
        <w:tc>
          <w:tcPr>
            <w:tcW w:w="1480"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额定功率(kW)</w:t>
            </w:r>
          </w:p>
        </w:tc>
        <w:tc>
          <w:tcPr>
            <w:tcW w:w="1020"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生产能力</w:t>
            </w:r>
          </w:p>
        </w:tc>
        <w:tc>
          <w:tcPr>
            <w:tcW w:w="668"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43"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58"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80"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80"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668" w:type="dxa"/>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43"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58"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8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8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668"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66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66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66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66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66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66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643"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5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5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8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48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020"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66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09" w:type="dxa"/>
            <w:vAlign w:val="top"/>
          </w:tcPr>
          <w:p>
            <w:pPr>
              <w:keepLines w:val="0"/>
              <w:kinsoku/>
              <w:overflowPunct/>
              <w:bidi w:val="0"/>
              <w:snapToGrid/>
              <w:jc w:val="left"/>
              <w:outlineLvl w:val="9"/>
              <w:rPr>
                <w:rFonts w:hint="eastAsia" w:ascii="宋体" w:hAnsi="宋体" w:eastAsia="宋体" w:cs="宋体"/>
                <w:sz w:val="22"/>
                <w:szCs w:val="30"/>
              </w:rPr>
            </w:pPr>
          </w:p>
        </w:tc>
        <w:tc>
          <w:tcPr>
            <w:tcW w:w="1643" w:type="dxa"/>
            <w:vAlign w:val="top"/>
          </w:tcPr>
          <w:p>
            <w:pPr>
              <w:keepLines w:val="0"/>
              <w:kinsoku/>
              <w:overflowPunct/>
              <w:bidi w:val="0"/>
              <w:snapToGrid/>
              <w:jc w:val="left"/>
              <w:outlineLvl w:val="9"/>
              <w:rPr>
                <w:rFonts w:hint="eastAsia" w:ascii="宋体" w:hAnsi="宋体" w:eastAsia="宋体" w:cs="宋体"/>
                <w:sz w:val="22"/>
                <w:szCs w:val="30"/>
              </w:rPr>
            </w:pPr>
          </w:p>
        </w:tc>
        <w:tc>
          <w:tcPr>
            <w:tcW w:w="850" w:type="dxa"/>
            <w:vAlign w:val="top"/>
          </w:tcPr>
          <w:p>
            <w:pPr>
              <w:keepLines w:val="0"/>
              <w:kinsoku/>
              <w:overflowPunct/>
              <w:bidi w:val="0"/>
              <w:snapToGrid/>
              <w:jc w:val="left"/>
              <w:outlineLvl w:val="9"/>
              <w:rPr>
                <w:rFonts w:hint="eastAsia" w:ascii="宋体" w:hAnsi="宋体" w:eastAsia="宋体" w:cs="宋体"/>
                <w:sz w:val="22"/>
                <w:szCs w:val="30"/>
              </w:rPr>
            </w:pPr>
          </w:p>
        </w:tc>
        <w:tc>
          <w:tcPr>
            <w:tcW w:w="1058" w:type="dxa"/>
            <w:vAlign w:val="top"/>
          </w:tcPr>
          <w:p>
            <w:pPr>
              <w:keepLines w:val="0"/>
              <w:kinsoku/>
              <w:overflowPunct/>
              <w:bidi w:val="0"/>
              <w:snapToGrid/>
              <w:jc w:val="left"/>
              <w:outlineLvl w:val="9"/>
              <w:rPr>
                <w:rFonts w:hint="eastAsia" w:ascii="宋体" w:hAnsi="宋体" w:eastAsia="宋体" w:cs="宋体"/>
                <w:sz w:val="22"/>
                <w:szCs w:val="30"/>
              </w:rPr>
            </w:pPr>
          </w:p>
        </w:tc>
        <w:tc>
          <w:tcPr>
            <w:tcW w:w="8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1480" w:type="dxa"/>
            <w:vAlign w:val="top"/>
          </w:tcPr>
          <w:p>
            <w:pPr>
              <w:keepLines w:val="0"/>
              <w:kinsoku/>
              <w:overflowPunct/>
              <w:bidi w:val="0"/>
              <w:snapToGrid/>
              <w:jc w:val="left"/>
              <w:outlineLvl w:val="9"/>
              <w:rPr>
                <w:rFonts w:hint="eastAsia" w:ascii="宋体" w:hAnsi="宋体" w:eastAsia="宋体" w:cs="宋体"/>
                <w:sz w:val="22"/>
                <w:szCs w:val="30"/>
              </w:rPr>
            </w:pPr>
          </w:p>
        </w:tc>
        <w:tc>
          <w:tcPr>
            <w:tcW w:w="1020" w:type="dxa"/>
            <w:vAlign w:val="top"/>
          </w:tcPr>
          <w:p>
            <w:pPr>
              <w:keepLines w:val="0"/>
              <w:kinsoku/>
              <w:overflowPunct/>
              <w:bidi w:val="0"/>
              <w:snapToGrid/>
              <w:jc w:val="left"/>
              <w:outlineLvl w:val="9"/>
              <w:rPr>
                <w:rFonts w:hint="eastAsia" w:ascii="宋体" w:hAnsi="宋体" w:eastAsia="宋体" w:cs="宋体"/>
                <w:sz w:val="22"/>
                <w:szCs w:val="30"/>
              </w:rPr>
            </w:pPr>
          </w:p>
        </w:tc>
        <w:tc>
          <w:tcPr>
            <w:tcW w:w="668" w:type="dxa"/>
            <w:vAlign w:val="top"/>
          </w:tcPr>
          <w:p>
            <w:pPr>
              <w:keepLines w:val="0"/>
              <w:kinsoku/>
              <w:overflowPunct/>
              <w:bidi w:val="0"/>
              <w:snapToGrid/>
              <w:jc w:val="left"/>
              <w:outlineLvl w:val="9"/>
              <w:rPr>
                <w:rFonts w:hint="eastAsia" w:ascii="宋体" w:hAnsi="宋体" w:eastAsia="宋体" w:cs="宋体"/>
                <w:sz w:val="22"/>
                <w:szCs w:val="30"/>
              </w:rPr>
            </w:pPr>
          </w:p>
        </w:tc>
      </w:tr>
    </w:tbl>
    <w:p>
      <w:pPr>
        <w:keepLines w:val="0"/>
        <w:kinsoku/>
        <w:overflowPunct/>
        <w:bidi w:val="0"/>
        <w:snapToGrid/>
        <w:spacing w:line="440" w:lineRule="exact"/>
        <w:jc w:val="left"/>
        <w:outlineLvl w:val="9"/>
        <w:rPr>
          <w:rFonts w:hint="eastAsia" w:ascii="宋体" w:hAnsi="宋体" w:eastAsia="宋体" w:cs="宋体"/>
          <w:sz w:val="22"/>
          <w:szCs w:val="30"/>
        </w:rPr>
      </w:pPr>
    </w:p>
    <w:p>
      <w:pPr>
        <w:keepLines w:val="0"/>
        <w:kinsoku/>
        <w:overflowPunct/>
        <w:bidi w:val="0"/>
        <w:snapToGrid/>
        <w:spacing w:line="440" w:lineRule="exact"/>
        <w:jc w:val="left"/>
        <w:outlineLvl w:val="9"/>
        <w:rPr>
          <w:rFonts w:hint="eastAsia" w:ascii="宋体" w:hAnsi="宋体" w:eastAsia="宋体" w:cs="宋体"/>
          <w:sz w:val="22"/>
          <w:szCs w:val="30"/>
        </w:rPr>
      </w:pPr>
      <w:r>
        <w:rPr>
          <w:rFonts w:hint="eastAsia" w:ascii="宋体" w:hAnsi="宋体" w:eastAsia="宋体" w:cs="宋体"/>
          <w:sz w:val="22"/>
          <w:szCs w:val="30"/>
        </w:rPr>
        <w:t>附</w:t>
      </w:r>
      <w:bookmarkStart w:id="1238" w:name="_Toc296891268"/>
      <w:bookmarkStart w:id="1239" w:name="_Toc296347227"/>
      <w:bookmarkStart w:id="1240" w:name="_Toc296346729"/>
      <w:bookmarkStart w:id="1241" w:name="_Toc296891056"/>
      <w:bookmarkStart w:id="1242" w:name="_Toc296503228"/>
      <w:bookmarkStart w:id="1243" w:name="_Toc296944567"/>
      <w:bookmarkStart w:id="1244" w:name="_Toc267261699"/>
      <w:r>
        <w:rPr>
          <w:rFonts w:hint="eastAsia" w:ascii="宋体" w:hAnsi="宋体" w:eastAsia="宋体" w:cs="宋体"/>
          <w:sz w:val="22"/>
          <w:szCs w:val="30"/>
        </w:rPr>
        <w:t>件4：</w:t>
      </w:r>
    </w:p>
    <w:bookmarkEnd w:id="1238"/>
    <w:bookmarkEnd w:id="1239"/>
    <w:bookmarkEnd w:id="1240"/>
    <w:bookmarkEnd w:id="1241"/>
    <w:bookmarkEnd w:id="1242"/>
    <w:bookmarkEnd w:id="1243"/>
    <w:bookmarkEnd w:id="1244"/>
    <w:p>
      <w:pPr>
        <w:keepLines w:val="0"/>
        <w:kinsoku/>
        <w:overflowPunct/>
        <w:bidi w:val="0"/>
        <w:snapToGrid/>
        <w:spacing w:before="120" w:beforeLines="50" w:after="120" w:afterLines="50" w:line="440" w:lineRule="exact"/>
        <w:jc w:val="center"/>
        <w:outlineLvl w:val="9"/>
        <w:rPr>
          <w:rFonts w:hint="eastAsia" w:ascii="宋体" w:hAnsi="宋体" w:eastAsia="宋体" w:cs="宋体"/>
          <w:sz w:val="22"/>
          <w:szCs w:val="30"/>
        </w:rPr>
      </w:pPr>
      <w:r>
        <w:rPr>
          <w:rFonts w:hint="eastAsia" w:ascii="宋体" w:hAnsi="宋体" w:eastAsia="宋体" w:cs="宋体"/>
          <w:sz w:val="22"/>
          <w:szCs w:val="30"/>
        </w:rPr>
        <w:t>承包人主要施工管理人员表</w:t>
      </w:r>
    </w:p>
    <w:tbl>
      <w:tblPr>
        <w:tblStyle w:val="18"/>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名    称</w:t>
            </w:r>
          </w:p>
        </w:tc>
        <w:tc>
          <w:tcPr>
            <w:tcW w:w="1418"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姓名</w:t>
            </w:r>
          </w:p>
        </w:tc>
        <w:tc>
          <w:tcPr>
            <w:tcW w:w="1134"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r>
              <w:rPr>
                <w:rFonts w:hint="eastAsia" w:ascii="宋体" w:hAnsi="宋体" w:eastAsia="宋体" w:cs="宋体"/>
                <w:sz w:val="22"/>
                <w:szCs w:val="30"/>
              </w:rPr>
              <w:t>职务</w:t>
            </w:r>
          </w:p>
        </w:tc>
        <w:tc>
          <w:tcPr>
            <w:tcW w:w="1134"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r>
              <w:rPr>
                <w:rFonts w:hint="eastAsia" w:ascii="宋体" w:hAnsi="宋体" w:eastAsia="宋体" w:cs="宋体"/>
                <w:sz w:val="22"/>
                <w:szCs w:val="30"/>
              </w:rPr>
              <w:t>职称</w:t>
            </w:r>
          </w:p>
        </w:tc>
        <w:tc>
          <w:tcPr>
            <w:tcW w:w="4252" w:type="dxa"/>
            <w:tcBorders>
              <w:top w:val="single" w:color="auto" w:sz="12" w:space="0"/>
              <w:bottom w:val="doub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r>
              <w:rPr>
                <w:rFonts w:hint="eastAsia" w:ascii="宋体" w:hAnsi="宋体" w:eastAsia="宋体" w:cs="宋体"/>
                <w:sz w:val="22"/>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项目主管</w:t>
            </w:r>
          </w:p>
        </w:tc>
        <w:tc>
          <w:tcPr>
            <w:tcW w:w="1418"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tcBorders>
              <w:top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其他人员</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项目经理</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项目副经理</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技术负责人</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造价管理</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质量管理</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材料管理</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计划管理</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安全管理</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其他人员</w:t>
            </w: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tcBorders>
              <w:bottom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tcBorders>
              <w:bottom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bottom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tcBorders>
              <w:bottom w:val="nil"/>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tcBorders>
              <w:bottom w:val="single" w:color="auto" w:sz="12"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134" w:type="dxa"/>
            <w:tcBorders>
              <w:bottom w:val="single" w:color="auto" w:sz="12"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1134" w:type="dxa"/>
            <w:tcBorders>
              <w:bottom w:val="single" w:color="auto" w:sz="12"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c>
          <w:tcPr>
            <w:tcW w:w="4252" w:type="dxa"/>
            <w:tcBorders>
              <w:bottom w:val="single" w:color="auto" w:sz="12" w:space="0"/>
            </w:tcBorders>
            <w:vAlign w:val="center"/>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22"/>
                <w:szCs w:val="30"/>
              </w:rPr>
            </w:pPr>
          </w:p>
        </w:tc>
      </w:tr>
    </w:tbl>
    <w:p>
      <w:pPr>
        <w:keepLines w:val="0"/>
        <w:kinsoku/>
        <w:overflowPunct/>
        <w:bidi w:val="0"/>
        <w:snapToGrid/>
        <w:spacing w:line="440" w:lineRule="exact"/>
        <w:jc w:val="left"/>
        <w:outlineLvl w:val="9"/>
        <w:rPr>
          <w:rFonts w:hint="eastAsia" w:ascii="宋体" w:hAnsi="宋体" w:eastAsia="宋体" w:cs="宋体"/>
          <w:sz w:val="22"/>
          <w:szCs w:val="30"/>
        </w:rPr>
      </w:pPr>
      <w:r>
        <w:rPr>
          <w:rFonts w:hint="eastAsia" w:ascii="宋体" w:hAnsi="宋体" w:eastAsia="宋体" w:cs="宋体"/>
          <w:sz w:val="22"/>
          <w:szCs w:val="30"/>
        </w:rPr>
        <w:br w:type="page"/>
      </w:r>
      <w:bookmarkStart w:id="1245" w:name="_Toc267261701"/>
      <w:r>
        <w:rPr>
          <w:rFonts w:hint="eastAsia" w:ascii="宋体" w:hAnsi="宋体" w:eastAsia="宋体" w:cs="宋体"/>
          <w:sz w:val="22"/>
          <w:szCs w:val="30"/>
        </w:rPr>
        <w:t>附</w:t>
      </w:r>
      <w:bookmarkStart w:id="1246" w:name="_Toc296891059"/>
      <w:bookmarkStart w:id="1247" w:name="_Toc296347230"/>
      <w:bookmarkStart w:id="1248" w:name="_Toc296891271"/>
      <w:bookmarkStart w:id="1249" w:name="_Toc296346732"/>
      <w:bookmarkStart w:id="1250" w:name="_Toc296503231"/>
      <w:bookmarkStart w:id="1251" w:name="_Toc296944570"/>
      <w:r>
        <w:rPr>
          <w:rFonts w:hint="eastAsia" w:ascii="宋体" w:hAnsi="宋体" w:eastAsia="宋体" w:cs="宋体"/>
          <w:sz w:val="22"/>
          <w:szCs w:val="30"/>
        </w:rPr>
        <w:t>件5：</w:t>
      </w:r>
      <w:bookmarkEnd w:id="1245"/>
      <w:bookmarkEnd w:id="1246"/>
      <w:bookmarkEnd w:id="1247"/>
      <w:bookmarkEnd w:id="1248"/>
      <w:bookmarkEnd w:id="1249"/>
      <w:bookmarkEnd w:id="1250"/>
      <w:bookmarkEnd w:id="1251"/>
    </w:p>
    <w:p>
      <w:pPr>
        <w:keepLines w:val="0"/>
        <w:pageBreakBefore w:val="0"/>
        <w:widowControl w:val="0"/>
        <w:kinsoku/>
        <w:wordWrap/>
        <w:overflowPunct/>
        <w:topLinePunct w:val="0"/>
        <w:autoSpaceDE w:val="0"/>
        <w:autoSpaceDN w:val="0"/>
        <w:bidi w:val="0"/>
        <w:snapToGrid/>
        <w:spacing w:before="120" w:beforeLines="50" w:after="120" w:afterLines="50" w:line="440" w:lineRule="exact"/>
        <w:jc w:val="center"/>
        <w:outlineLvl w:val="9"/>
        <w:rPr>
          <w:rFonts w:hint="eastAsia" w:ascii="宋体" w:hAnsi="宋体" w:eastAsia="宋体" w:cs="宋体"/>
          <w:sz w:val="22"/>
          <w:szCs w:val="30"/>
        </w:rPr>
      </w:pPr>
      <w:bookmarkStart w:id="1252" w:name="_Toc4056082"/>
      <w:bookmarkStart w:id="1253" w:name="_Toc501357187"/>
      <w:bookmarkStart w:id="1254" w:name="_Toc4055547"/>
      <w:bookmarkStart w:id="1255" w:name="_Toc29184"/>
      <w:r>
        <w:rPr>
          <w:rFonts w:hint="eastAsia" w:ascii="宋体" w:hAnsi="宋体" w:eastAsia="宋体" w:cs="宋体"/>
          <w:sz w:val="22"/>
          <w:szCs w:val="30"/>
        </w:rPr>
        <w:t>11-1：材料暂估价表</w:t>
      </w:r>
      <w:bookmarkEnd w:id="1252"/>
      <w:bookmarkEnd w:id="1253"/>
      <w:bookmarkEnd w:id="1254"/>
      <w:bookmarkEnd w:id="1255"/>
    </w:p>
    <w:tbl>
      <w:tblPr>
        <w:tblStyle w:val="18"/>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序号</w:t>
            </w:r>
          </w:p>
        </w:tc>
        <w:tc>
          <w:tcPr>
            <w:tcW w:w="1984"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名称</w:t>
            </w:r>
          </w:p>
        </w:tc>
        <w:tc>
          <w:tcPr>
            <w:tcW w:w="851"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单位</w:t>
            </w:r>
          </w:p>
        </w:tc>
        <w:tc>
          <w:tcPr>
            <w:tcW w:w="774"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数量</w:t>
            </w:r>
          </w:p>
        </w:tc>
        <w:tc>
          <w:tcPr>
            <w:tcW w:w="1352"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单价（元）</w:t>
            </w:r>
          </w:p>
        </w:tc>
        <w:tc>
          <w:tcPr>
            <w:tcW w:w="1418"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合价（元）</w:t>
            </w:r>
          </w:p>
        </w:tc>
        <w:tc>
          <w:tcPr>
            <w:tcW w:w="1701"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bl>
    <w:p>
      <w:pPr>
        <w:keepLines w:val="0"/>
        <w:pageBreakBefore w:val="0"/>
        <w:widowControl w:val="0"/>
        <w:kinsoku/>
        <w:wordWrap/>
        <w:overflowPunct/>
        <w:topLinePunct w:val="0"/>
        <w:autoSpaceDE w:val="0"/>
        <w:autoSpaceDN w:val="0"/>
        <w:bidi w:val="0"/>
        <w:snapToGrid/>
        <w:spacing w:before="120" w:beforeLines="50" w:after="120" w:afterLines="50" w:line="440" w:lineRule="exact"/>
        <w:jc w:val="left"/>
        <w:outlineLvl w:val="9"/>
        <w:rPr>
          <w:rFonts w:hint="eastAsia" w:ascii="宋体" w:hAnsi="宋体" w:eastAsia="宋体" w:cs="宋体"/>
          <w:sz w:val="22"/>
          <w:szCs w:val="30"/>
        </w:rPr>
      </w:pPr>
    </w:p>
    <w:p>
      <w:pPr>
        <w:keepLines w:val="0"/>
        <w:pageBreakBefore w:val="0"/>
        <w:widowControl w:val="0"/>
        <w:kinsoku/>
        <w:wordWrap/>
        <w:overflowPunct/>
        <w:topLinePunct w:val="0"/>
        <w:autoSpaceDE w:val="0"/>
        <w:autoSpaceDN w:val="0"/>
        <w:bidi w:val="0"/>
        <w:snapToGrid/>
        <w:spacing w:before="120" w:beforeLines="50" w:after="120" w:afterLines="50" w:line="440" w:lineRule="exact"/>
        <w:jc w:val="center"/>
        <w:outlineLvl w:val="9"/>
        <w:rPr>
          <w:rFonts w:hint="eastAsia" w:ascii="宋体" w:hAnsi="宋体" w:eastAsia="宋体" w:cs="宋体"/>
          <w:sz w:val="22"/>
          <w:szCs w:val="30"/>
        </w:rPr>
      </w:pPr>
      <w:r>
        <w:rPr>
          <w:rFonts w:hint="eastAsia" w:ascii="宋体" w:hAnsi="宋体" w:eastAsia="宋体" w:cs="宋体"/>
          <w:sz w:val="22"/>
          <w:szCs w:val="30"/>
        </w:rPr>
        <w:t>11-2：工程设备暂估价表</w:t>
      </w:r>
    </w:p>
    <w:tbl>
      <w:tblPr>
        <w:tblStyle w:val="18"/>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序号</w:t>
            </w:r>
          </w:p>
        </w:tc>
        <w:tc>
          <w:tcPr>
            <w:tcW w:w="1984"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名称</w:t>
            </w:r>
          </w:p>
        </w:tc>
        <w:tc>
          <w:tcPr>
            <w:tcW w:w="851"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单位</w:t>
            </w:r>
          </w:p>
        </w:tc>
        <w:tc>
          <w:tcPr>
            <w:tcW w:w="774"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数量</w:t>
            </w:r>
          </w:p>
        </w:tc>
        <w:tc>
          <w:tcPr>
            <w:tcW w:w="1352"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单价（元）</w:t>
            </w:r>
          </w:p>
        </w:tc>
        <w:tc>
          <w:tcPr>
            <w:tcW w:w="1418"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合价（元）</w:t>
            </w:r>
          </w:p>
        </w:tc>
        <w:tc>
          <w:tcPr>
            <w:tcW w:w="1701"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85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77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352"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41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c>
          <w:tcPr>
            <w:tcW w:w="1701"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p>
        </w:tc>
      </w:tr>
    </w:tbl>
    <w:p>
      <w:pPr>
        <w:keepLines w:val="0"/>
        <w:pageBreakBefore w:val="0"/>
        <w:widowControl w:val="0"/>
        <w:kinsoku/>
        <w:wordWrap/>
        <w:overflowPunct/>
        <w:topLinePunct w:val="0"/>
        <w:autoSpaceDE w:val="0"/>
        <w:autoSpaceDN w:val="0"/>
        <w:bidi w:val="0"/>
        <w:snapToGrid/>
        <w:spacing w:line="440" w:lineRule="exact"/>
        <w:jc w:val="left"/>
        <w:outlineLvl w:val="9"/>
        <w:rPr>
          <w:rFonts w:hint="eastAsia" w:ascii="宋体" w:hAnsi="宋体" w:eastAsia="宋体" w:cs="宋体"/>
          <w:sz w:val="22"/>
          <w:szCs w:val="30"/>
        </w:rPr>
      </w:pPr>
    </w:p>
    <w:p>
      <w:pPr>
        <w:keepLines w:val="0"/>
        <w:pageBreakBefore w:val="0"/>
        <w:widowControl w:val="0"/>
        <w:kinsoku/>
        <w:wordWrap/>
        <w:overflowPunct/>
        <w:topLinePunct w:val="0"/>
        <w:autoSpaceDE w:val="0"/>
        <w:autoSpaceDN w:val="0"/>
        <w:bidi w:val="0"/>
        <w:snapToGrid/>
        <w:spacing w:before="120" w:beforeLines="50" w:after="120" w:afterLines="50" w:line="440" w:lineRule="exact"/>
        <w:jc w:val="center"/>
        <w:outlineLvl w:val="9"/>
        <w:rPr>
          <w:rFonts w:hint="eastAsia" w:ascii="宋体" w:hAnsi="宋体" w:eastAsia="宋体" w:cs="宋体"/>
          <w:sz w:val="22"/>
          <w:szCs w:val="30"/>
        </w:rPr>
      </w:pPr>
      <w:r>
        <w:rPr>
          <w:rFonts w:hint="eastAsia" w:ascii="宋体" w:hAnsi="宋体" w:eastAsia="宋体" w:cs="宋体"/>
          <w:sz w:val="22"/>
          <w:szCs w:val="30"/>
        </w:rPr>
        <w:br w:type="page"/>
      </w:r>
      <w:r>
        <w:rPr>
          <w:rFonts w:hint="eastAsia" w:ascii="宋体" w:hAnsi="宋体" w:eastAsia="宋体" w:cs="宋体"/>
          <w:sz w:val="22"/>
          <w:szCs w:val="30"/>
        </w:rPr>
        <w:t>11-3：专业工程暂估价表</w:t>
      </w:r>
    </w:p>
    <w:tbl>
      <w:tblPr>
        <w:tblStyle w:val="18"/>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序号</w:t>
            </w:r>
          </w:p>
        </w:tc>
        <w:tc>
          <w:tcPr>
            <w:tcW w:w="1984"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专业工程名称</w:t>
            </w:r>
          </w:p>
        </w:tc>
        <w:tc>
          <w:tcPr>
            <w:tcW w:w="4678"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工程内容</w:t>
            </w:r>
          </w:p>
        </w:tc>
        <w:tc>
          <w:tcPr>
            <w:tcW w:w="1276" w:type="dxa"/>
            <w:tcBorders>
              <w:top w:val="single" w:color="auto" w:sz="12" w:space="0"/>
              <w:bottom w:val="doub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20"/>
                <w:szCs w:val="30"/>
              </w:rPr>
            </w:pPr>
            <w:r>
              <w:rPr>
                <w:rFonts w:hint="eastAsia" w:ascii="宋体" w:hAnsi="宋体" w:eastAsia="宋体" w:cs="宋体"/>
                <w:sz w:val="20"/>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879"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tcBorders>
              <w:top w:val="double" w:color="auto" w:sz="6" w:space="0"/>
              <w:bottom w:val="single" w:color="auto" w:sz="6" w:space="0"/>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tcBorders>
              <w:top w:val="nil"/>
            </w:tcBorders>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984"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4678"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c>
          <w:tcPr>
            <w:tcW w:w="1276" w:type="dxa"/>
            <w:vAlign w:val="top"/>
          </w:tcPr>
          <w:p>
            <w:pPr>
              <w:keepNext/>
              <w:keepLines w:val="0"/>
              <w:pageBreakBefore w:val="0"/>
              <w:widowControl w:val="0"/>
              <w:kinsoku/>
              <w:wordWrap/>
              <w:overflowPunct/>
              <w:topLinePunct w:val="0"/>
              <w:autoSpaceDE w:val="0"/>
              <w:autoSpaceDN w:val="0"/>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817" w:type="dxa"/>
            <w:gridSpan w:val="4"/>
            <w:vAlign w:val="top"/>
          </w:tcPr>
          <w:p>
            <w:pPr>
              <w:keepNext/>
              <w:keepLines w:val="0"/>
              <w:kinsoku/>
              <w:overflowPunct/>
              <w:bidi w:val="0"/>
              <w:adjustRightInd w:val="0"/>
              <w:snapToGrid/>
              <w:spacing w:line="440" w:lineRule="exact"/>
              <w:ind w:left="66" w:leftChars="30" w:right="66" w:rightChars="30"/>
              <w:jc w:val="left"/>
              <w:textAlignment w:val="baseline"/>
              <w:outlineLvl w:val="9"/>
              <w:rPr>
                <w:rFonts w:hint="eastAsia" w:ascii="宋体" w:hAnsi="宋体" w:eastAsia="宋体" w:cs="宋体"/>
                <w:sz w:val="13"/>
                <w:szCs w:val="21"/>
              </w:rPr>
            </w:pPr>
            <w:r>
              <w:rPr>
                <w:rFonts w:hint="eastAsia" w:ascii="宋体" w:hAnsi="宋体" w:eastAsia="宋体" w:cs="宋体"/>
                <w:sz w:val="20"/>
                <w:szCs w:val="30"/>
              </w:rPr>
              <w:t>小计：</w:t>
            </w:r>
          </w:p>
        </w:tc>
      </w:tr>
    </w:tbl>
    <w:p>
      <w:pPr>
        <w:keepLines w:val="0"/>
        <w:kinsoku/>
        <w:overflowPunct/>
        <w:bidi w:val="0"/>
        <w:snapToGrid/>
        <w:outlineLvl w:val="9"/>
        <w:rPr>
          <w:rFonts w:hint="eastAsia" w:ascii="宋体" w:hAnsi="宋体" w:eastAsia="宋体" w:cs="宋体"/>
          <w:b/>
          <w:sz w:val="30"/>
        </w:rPr>
      </w:pPr>
    </w:p>
    <w:p>
      <w:pPr>
        <w:keepLines w:val="0"/>
        <w:kinsoku/>
        <w:overflowPunct/>
        <w:bidi w:val="0"/>
        <w:snapToGrid/>
        <w:outlineLvl w:val="9"/>
        <w:rPr>
          <w:rFonts w:hint="eastAsia" w:ascii="宋体" w:hAnsi="宋体" w:eastAsia="宋体" w:cs="宋体"/>
          <w:b/>
          <w:sz w:val="30"/>
        </w:rPr>
      </w:pPr>
      <w:r>
        <w:rPr>
          <w:rFonts w:hint="eastAsia" w:ascii="宋体" w:hAnsi="宋体" w:eastAsia="宋体" w:cs="宋体"/>
          <w:b/>
          <w:sz w:val="30"/>
        </w:rPr>
        <w:br w:type="page"/>
      </w:r>
    </w:p>
    <w:p>
      <w:pPr>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eastAsia"/>
          <w:b/>
          <w:bCs/>
          <w:sz w:val="32"/>
          <w:szCs w:val="32"/>
        </w:rPr>
      </w:pPr>
      <w:bookmarkStart w:id="1256" w:name="_Toc15036"/>
      <w:bookmarkStart w:id="1257" w:name="_Toc29829"/>
      <w:r>
        <w:rPr>
          <w:rFonts w:hint="eastAsia"/>
          <w:b/>
          <w:bCs/>
          <w:sz w:val="32"/>
          <w:szCs w:val="32"/>
        </w:rPr>
        <w:t>第五章</w:t>
      </w:r>
      <w:r>
        <w:rPr>
          <w:rFonts w:hint="eastAsia"/>
          <w:b/>
          <w:bCs/>
          <w:sz w:val="32"/>
          <w:szCs w:val="32"/>
          <w:lang w:val="en-US" w:eastAsia="zh-CN"/>
        </w:rPr>
        <w:t xml:space="preserve"> </w:t>
      </w:r>
      <w:r>
        <w:rPr>
          <w:rFonts w:hint="eastAsia"/>
          <w:b/>
          <w:bCs/>
          <w:sz w:val="32"/>
          <w:szCs w:val="32"/>
        </w:rPr>
        <w:t>工程量清单</w:t>
      </w:r>
      <w:bookmarkEnd w:id="1256"/>
      <w:bookmarkEnd w:id="1257"/>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bl>
      <w:tblPr>
        <w:tblStyle w:val="18"/>
        <w:tblW w:w="9020" w:type="dxa"/>
        <w:tblInd w:w="93" w:type="dxa"/>
        <w:shd w:val="clear" w:color="auto" w:fill="auto"/>
        <w:tblLayout w:type="autofit"/>
        <w:tblCellMar>
          <w:top w:w="0" w:type="dxa"/>
          <w:left w:w="108" w:type="dxa"/>
          <w:bottom w:w="0" w:type="dxa"/>
          <w:right w:w="108" w:type="dxa"/>
        </w:tblCellMar>
      </w:tblPr>
      <w:tblGrid>
        <w:gridCol w:w="8532"/>
        <w:gridCol w:w="488"/>
      </w:tblGrid>
      <w:tr>
        <w:tblPrEx>
          <w:shd w:val="clear" w:color="auto" w:fill="auto"/>
          <w:tblCellMar>
            <w:top w:w="0" w:type="dxa"/>
            <w:left w:w="108" w:type="dxa"/>
            <w:bottom w:w="0" w:type="dxa"/>
            <w:right w:w="108" w:type="dxa"/>
          </w:tblCellMar>
        </w:tblPrEx>
        <w:trPr>
          <w:trHeight w:val="1021" w:hRule="atLeast"/>
        </w:trPr>
        <w:tc>
          <w:tcPr>
            <w:tcW w:w="902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目  录</w:t>
            </w:r>
          </w:p>
        </w:tc>
      </w:tr>
      <w:tr>
        <w:tblPrEx>
          <w:tblCellMar>
            <w:top w:w="0" w:type="dxa"/>
            <w:left w:w="108" w:type="dxa"/>
            <w:bottom w:w="0" w:type="dxa"/>
            <w:right w:w="108" w:type="dxa"/>
          </w:tblCellMar>
        </w:tblPrEx>
        <w:trPr>
          <w:trHeight w:val="693" w:hRule="atLeast"/>
        </w:trPr>
        <w:tc>
          <w:tcPr>
            <w:tcW w:w="8532"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【表2】总预算汇总表1………………………………………………………………………………………………………</w:t>
            </w:r>
          </w:p>
        </w:tc>
        <w:tc>
          <w:tcPr>
            <w:tcW w:w="488" w:type="dxa"/>
            <w:tcBorders>
              <w:top w:val="nil"/>
              <w:left w:val="nil"/>
              <w:bottom w:val="nil"/>
              <w:right w:val="nil"/>
            </w:tcBorders>
            <w:shd w:val="clear" w:color="auto" w:fill="auto"/>
            <w:vAlign w:val="top"/>
          </w:tcPr>
          <w:p>
            <w:pPr>
              <w:keepNext w:val="0"/>
              <w:keepLines w:val="0"/>
              <w:widowControl/>
              <w:suppressLineNumbers w:val="0"/>
              <w:jc w:val="righ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734" w:hRule="atLeast"/>
        </w:trPr>
        <w:tc>
          <w:tcPr>
            <w:tcW w:w="8532"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【表3】工程施工费预算表……………………………………………………………………………………………………</w:t>
            </w:r>
          </w:p>
        </w:tc>
        <w:tc>
          <w:tcPr>
            <w:tcW w:w="488" w:type="dxa"/>
            <w:tcBorders>
              <w:top w:val="nil"/>
              <w:left w:val="nil"/>
              <w:bottom w:val="nil"/>
              <w:right w:val="nil"/>
            </w:tcBorders>
            <w:shd w:val="clear" w:color="auto" w:fill="auto"/>
            <w:vAlign w:val="top"/>
          </w:tcPr>
          <w:p>
            <w:pPr>
              <w:keepNext w:val="0"/>
              <w:keepLines w:val="0"/>
              <w:widowControl/>
              <w:suppressLineNumbers w:val="0"/>
              <w:jc w:val="righ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734" w:hRule="atLeast"/>
        </w:trPr>
        <w:tc>
          <w:tcPr>
            <w:tcW w:w="8532"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【表3附】工程施工费预算表…………………………………………………………………………………………………</w:t>
            </w:r>
          </w:p>
        </w:tc>
        <w:tc>
          <w:tcPr>
            <w:tcW w:w="488" w:type="dxa"/>
            <w:tcBorders>
              <w:top w:val="nil"/>
              <w:left w:val="nil"/>
              <w:bottom w:val="nil"/>
              <w:right w:val="nil"/>
            </w:tcBorders>
            <w:shd w:val="clear" w:color="auto" w:fill="auto"/>
            <w:vAlign w:val="top"/>
          </w:tcPr>
          <w:p>
            <w:pPr>
              <w:keepNext w:val="0"/>
              <w:keepLines w:val="0"/>
              <w:widowControl/>
              <w:suppressLineNumbers w:val="0"/>
              <w:jc w:val="righ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734" w:hRule="atLeast"/>
        </w:trPr>
        <w:tc>
          <w:tcPr>
            <w:tcW w:w="8532"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【表4】设备购置费预算表……………………………………………………………………………………………………</w:t>
            </w:r>
          </w:p>
        </w:tc>
        <w:tc>
          <w:tcPr>
            <w:tcW w:w="488" w:type="dxa"/>
            <w:tcBorders>
              <w:top w:val="nil"/>
              <w:left w:val="nil"/>
              <w:bottom w:val="nil"/>
              <w:right w:val="nil"/>
            </w:tcBorders>
            <w:shd w:val="clear" w:color="auto" w:fill="auto"/>
            <w:vAlign w:val="top"/>
          </w:tcPr>
          <w:p>
            <w:pPr>
              <w:keepNext w:val="0"/>
              <w:keepLines w:val="0"/>
              <w:widowControl/>
              <w:suppressLineNumbers w:val="0"/>
              <w:jc w:val="righ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r>
      <w:tr>
        <w:tblPrEx>
          <w:tblCellMar>
            <w:top w:w="0" w:type="dxa"/>
            <w:left w:w="108" w:type="dxa"/>
            <w:bottom w:w="0" w:type="dxa"/>
            <w:right w:w="108" w:type="dxa"/>
          </w:tblCellMar>
        </w:tblPrEx>
        <w:trPr>
          <w:trHeight w:val="734" w:hRule="atLeast"/>
        </w:trPr>
        <w:tc>
          <w:tcPr>
            <w:tcW w:w="8532"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【表5】其他费用预算表………………………………………………………………………………………………………</w:t>
            </w:r>
          </w:p>
        </w:tc>
        <w:tc>
          <w:tcPr>
            <w:tcW w:w="488" w:type="dxa"/>
            <w:tcBorders>
              <w:top w:val="nil"/>
              <w:left w:val="nil"/>
              <w:bottom w:val="nil"/>
              <w:right w:val="nil"/>
            </w:tcBorders>
            <w:shd w:val="clear" w:color="auto" w:fill="auto"/>
            <w:vAlign w:val="top"/>
          </w:tcPr>
          <w:p>
            <w:pPr>
              <w:keepNext w:val="0"/>
              <w:keepLines w:val="0"/>
              <w:widowControl/>
              <w:suppressLineNumbers w:val="0"/>
              <w:jc w:val="righ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r>
      <w:tr>
        <w:tblPrEx>
          <w:tblCellMar>
            <w:top w:w="0" w:type="dxa"/>
            <w:left w:w="108" w:type="dxa"/>
            <w:bottom w:w="0" w:type="dxa"/>
            <w:right w:w="108" w:type="dxa"/>
          </w:tblCellMar>
        </w:tblPrEx>
        <w:trPr>
          <w:trHeight w:val="734" w:hRule="atLeast"/>
        </w:trPr>
        <w:tc>
          <w:tcPr>
            <w:tcW w:w="8532"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【表6】不可预见费预算表……………………………………………………………………………………………………</w:t>
            </w:r>
          </w:p>
        </w:tc>
        <w:tc>
          <w:tcPr>
            <w:tcW w:w="488" w:type="dxa"/>
            <w:tcBorders>
              <w:top w:val="nil"/>
              <w:left w:val="nil"/>
              <w:bottom w:val="nil"/>
              <w:right w:val="nil"/>
            </w:tcBorders>
            <w:shd w:val="clear" w:color="auto" w:fill="auto"/>
            <w:vAlign w:val="top"/>
          </w:tcPr>
          <w:p>
            <w:pPr>
              <w:keepNext w:val="0"/>
              <w:keepLines w:val="0"/>
              <w:widowControl/>
              <w:suppressLineNumbers w:val="0"/>
              <w:jc w:val="right"/>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r>
    </w:tbl>
    <w:p>
      <w:pPr>
        <w:rPr>
          <w:rFonts w:hint="eastAsia" w:ascii="宋体" w:hAnsi="宋体" w:eastAsia="宋体" w:cs="宋体"/>
          <w:b/>
          <w:sz w:val="29"/>
        </w:rPr>
      </w:pPr>
      <w:r>
        <w:rPr>
          <w:rFonts w:hint="eastAsia" w:ascii="宋体" w:hAnsi="宋体" w:eastAsia="宋体" w:cs="宋体"/>
          <w:b/>
          <w:sz w:val="29"/>
        </w:rPr>
        <w:br w:type="page"/>
      </w:r>
    </w:p>
    <w:tbl>
      <w:tblPr>
        <w:tblStyle w:val="18"/>
        <w:tblW w:w="8260" w:type="dxa"/>
        <w:tblInd w:w="93" w:type="dxa"/>
        <w:shd w:val="clear" w:color="auto" w:fill="auto"/>
        <w:tblLayout w:type="autofit"/>
        <w:tblCellMar>
          <w:top w:w="0" w:type="dxa"/>
          <w:left w:w="108" w:type="dxa"/>
          <w:bottom w:w="0" w:type="dxa"/>
          <w:right w:w="108" w:type="dxa"/>
        </w:tblCellMar>
      </w:tblPr>
      <w:tblGrid>
        <w:gridCol w:w="771"/>
        <w:gridCol w:w="1975"/>
        <w:gridCol w:w="2216"/>
        <w:gridCol w:w="3298"/>
      </w:tblGrid>
      <w:tr>
        <w:tblPrEx>
          <w:shd w:val="clear" w:color="auto" w:fill="auto"/>
          <w:tblCellMar>
            <w:top w:w="0" w:type="dxa"/>
            <w:left w:w="108" w:type="dxa"/>
            <w:bottom w:w="0" w:type="dxa"/>
            <w:right w:w="108" w:type="dxa"/>
          </w:tblCellMar>
        </w:tblPrEx>
        <w:trPr>
          <w:trHeight w:val="963" w:hRule="atLeast"/>
        </w:trPr>
        <w:tc>
          <w:tcPr>
            <w:tcW w:w="826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预算总表</w:t>
            </w:r>
          </w:p>
        </w:tc>
      </w:tr>
      <w:tr>
        <w:tblPrEx>
          <w:shd w:val="clear" w:color="auto" w:fill="auto"/>
          <w:tblCellMar>
            <w:top w:w="0" w:type="dxa"/>
            <w:left w:w="108" w:type="dxa"/>
            <w:bottom w:w="0" w:type="dxa"/>
            <w:right w:w="108" w:type="dxa"/>
          </w:tblCellMar>
        </w:tblPrEx>
        <w:trPr>
          <w:trHeight w:val="443"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r>
              <w:rPr>
                <w:rFonts w:hint="eastAsia" w:cs="宋体"/>
                <w:i w:val="0"/>
                <w:iCs w:val="0"/>
                <w:color w:val="000000"/>
                <w:kern w:val="0"/>
                <w:sz w:val="18"/>
                <w:szCs w:val="18"/>
                <w:u w:val="none"/>
                <w:lang w:val="en-US" w:eastAsia="zh-CN" w:bidi="ar"/>
              </w:rPr>
              <w:t xml:space="preserve"> </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项目规模(公顷)：</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金额单位：元    </w:t>
            </w:r>
          </w:p>
        </w:tc>
      </w:tr>
      <w:tr>
        <w:tblPrEx>
          <w:tblCellMar>
            <w:top w:w="0" w:type="dxa"/>
            <w:left w:w="108" w:type="dxa"/>
            <w:bottom w:w="0" w:type="dxa"/>
            <w:right w:w="108" w:type="dxa"/>
          </w:tblCellMar>
        </w:tblPrEx>
        <w:trPr>
          <w:trHeight w:val="46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工程或费用名称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各项费用占总费用的比例(%)</w:t>
            </w: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工程施工费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不可预见费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06"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443"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rPr>
          <w:rFonts w:hint="eastAsia" w:ascii="宋体" w:hAnsi="宋体" w:eastAsia="宋体" w:cs="宋体"/>
          <w:b/>
          <w:sz w:val="29"/>
        </w:rPr>
      </w:pPr>
    </w:p>
    <w:p>
      <w:pPr>
        <w:pStyle w:val="11"/>
        <w:keepNext w:val="0"/>
        <w:keepLines w:val="0"/>
        <w:pageBreakBefore w:val="0"/>
        <w:widowControl w:val="0"/>
        <w:kinsoku/>
        <w:wordWrap/>
        <w:overflowPunct/>
        <w:topLinePunct w:val="0"/>
        <w:autoSpaceDE w:val="0"/>
        <w:autoSpaceDN w:val="0"/>
        <w:bidi w:val="0"/>
        <w:adjustRightInd/>
        <w:snapToGrid/>
        <w:spacing w:before="2"/>
        <w:textAlignment w:val="auto"/>
        <w:outlineLvl w:val="9"/>
        <w:rPr>
          <w:rFonts w:hint="eastAsia" w:ascii="宋体" w:hAnsi="宋体" w:eastAsia="宋体" w:cs="宋体"/>
          <w:b/>
          <w:sz w:val="29"/>
        </w:rPr>
      </w:pPr>
    </w:p>
    <w:tbl>
      <w:tblPr>
        <w:tblStyle w:val="18"/>
        <w:tblW w:w="9700" w:type="dxa"/>
        <w:tblInd w:w="93" w:type="dxa"/>
        <w:shd w:val="clear" w:color="auto" w:fill="auto"/>
        <w:tblLayout w:type="fixed"/>
        <w:tblCellMar>
          <w:top w:w="0" w:type="dxa"/>
          <w:left w:w="108" w:type="dxa"/>
          <w:bottom w:w="0" w:type="dxa"/>
          <w:right w:w="108" w:type="dxa"/>
        </w:tblCellMar>
      </w:tblPr>
      <w:tblGrid>
        <w:gridCol w:w="1154"/>
        <w:gridCol w:w="913"/>
        <w:gridCol w:w="3787"/>
        <w:gridCol w:w="975"/>
        <w:gridCol w:w="1345"/>
        <w:gridCol w:w="719"/>
        <w:gridCol w:w="807"/>
      </w:tblGrid>
      <w:tr>
        <w:tblPrEx>
          <w:tblCellMar>
            <w:top w:w="0" w:type="dxa"/>
            <w:left w:w="108" w:type="dxa"/>
            <w:bottom w:w="0" w:type="dxa"/>
            <w:right w:w="108" w:type="dxa"/>
          </w:tblCellMar>
        </w:tblPrEx>
        <w:trPr>
          <w:trHeight w:val="547" w:hRule="atLeast"/>
        </w:trPr>
        <w:tc>
          <w:tcPr>
            <w:tcW w:w="970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工程施工费预算表</w:t>
            </w:r>
          </w:p>
        </w:tc>
      </w:tr>
      <w:tr>
        <w:tblPrEx>
          <w:tblCellMar>
            <w:top w:w="0" w:type="dxa"/>
            <w:left w:w="108" w:type="dxa"/>
            <w:bottom w:w="0" w:type="dxa"/>
            <w:right w:w="108" w:type="dxa"/>
          </w:tblCellMar>
        </w:tblPrEx>
        <w:trPr>
          <w:trHeight w:val="425" w:hRule="atLeast"/>
        </w:trPr>
        <w:tc>
          <w:tcPr>
            <w:tcW w:w="8174"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r>
              <w:rPr>
                <w:rFonts w:hint="eastAsia" w:cs="宋体"/>
                <w:i w:val="0"/>
                <w:iCs w:val="0"/>
                <w:color w:val="000000"/>
                <w:kern w:val="0"/>
                <w:sz w:val="18"/>
                <w:szCs w:val="18"/>
                <w:u w:val="none"/>
                <w:lang w:val="en-US" w:eastAsia="zh-CN" w:bidi="ar"/>
              </w:rPr>
              <w:t xml:space="preserve"> </w:t>
            </w:r>
          </w:p>
        </w:tc>
        <w:tc>
          <w:tcPr>
            <w:tcW w:w="7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80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shd w:val="clear" w:color="auto" w:fill="auto"/>
          <w:tblCellMar>
            <w:top w:w="0" w:type="dxa"/>
            <w:left w:w="108" w:type="dxa"/>
            <w:bottom w:w="0" w:type="dxa"/>
            <w:right w:w="108" w:type="dxa"/>
          </w:tblCellMar>
        </w:tblPrEx>
        <w:trPr>
          <w:trHeight w:val="464" w:hRule="atLeast"/>
        </w:trPr>
        <w:tc>
          <w:tcPr>
            <w:tcW w:w="11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定额编号</w:t>
            </w:r>
          </w:p>
        </w:tc>
        <w:tc>
          <w:tcPr>
            <w:tcW w:w="3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单项名称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r>
      <w:tr>
        <w:tblPrEx>
          <w:shd w:val="clear" w:color="auto" w:fill="auto"/>
          <w:tblCellMar>
            <w:top w:w="0" w:type="dxa"/>
            <w:left w:w="108" w:type="dxa"/>
            <w:bottom w:w="0" w:type="dxa"/>
            <w:right w:w="108" w:type="dxa"/>
          </w:tblCellMar>
        </w:tblPrEx>
        <w:trPr>
          <w:trHeight w:val="147" w:hRule="atLeast"/>
        </w:trPr>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边坡整治工程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6"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一般石方开挖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899979.52</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99"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20013</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风钻钻孔一般石方开挖 岩石级别Ⅴ-Ⅷ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8999.8</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坡面石方开挖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224994.88</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20056</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坡面一般石方开挖 风钻钻孔 岩石级别Ⅴ-Ⅷ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2249.95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废渣清理工程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渣堆清理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712.86</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PrEx>
        <w:trPr>
          <w:trHeight w:val="44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20282</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1m3挖掘机装自卸汽车运石渣 运距0～0.5km</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7.13</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砌体拆除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30080</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砌体拆除 水泥浆砌石</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建筑拆除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1325.15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100119</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房屋拆除 机械拆除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废渣清运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1537.58</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20282</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1m3挖掘机装自卸汽车运石渣 运距0～0.5km</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15.38</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挖填平整工程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采坑开挖</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石方开挖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388285.52</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20013</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风钻钻孔一般石方开挖 岩石级别Ⅴ-Ⅷ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3882.86</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渣土开挖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258857.01</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82"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10210</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1m3挖掘机挖装自卸汽车运土  运距≤0.5km 自卸汽车 柴油型  载重量5t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2588.57</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机械压实</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74338.76</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10344</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履带拖拉机压实</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100m3实方</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743.39</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场地平整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115278.8</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10333</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推土机平土 Ⅲ类土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1152.79</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挡土墙工程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浆砌石砌筑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3214.15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30026</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浆砌块石 挡土墙 [30089]机械拌制砂浆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32.14</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伸缩缝</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160.71</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37"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40280</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沥青油毡 二毡三油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60" w:hRule="atLeast"/>
        </w:trPr>
        <w:tc>
          <w:tcPr>
            <w:tcW w:w="1154"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66" w:hRule="atLeast"/>
        </w:trPr>
        <w:tc>
          <w:tcPr>
            <w:tcW w:w="9700" w:type="dxa"/>
            <w:gridSpan w:val="7"/>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填表说明：1.表中（6）=（4）*（5）         2.表中（5）见表3-2.</w:t>
            </w:r>
          </w:p>
        </w:tc>
      </w:tr>
      <w:tr>
        <w:tblPrEx>
          <w:shd w:val="clear" w:color="auto" w:fill="auto"/>
          <w:tblCellMar>
            <w:top w:w="0" w:type="dxa"/>
            <w:left w:w="108" w:type="dxa"/>
            <w:bottom w:w="0" w:type="dxa"/>
            <w:right w:w="108" w:type="dxa"/>
          </w:tblCellMar>
        </w:tblPrEx>
        <w:trPr>
          <w:trHeight w:val="216" w:hRule="atLeast"/>
        </w:trPr>
        <w:tc>
          <w:tcPr>
            <w:tcW w:w="970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bl>
    <w:p>
      <w:pPr>
        <w:rPr>
          <w:rFonts w:hint="eastAsia" w:ascii="宋体" w:hAnsi="宋体" w:eastAsia="宋体" w:cs="宋体"/>
          <w:b/>
          <w:sz w:val="20"/>
        </w:rPr>
      </w:pPr>
      <w:r>
        <w:rPr>
          <w:rFonts w:hint="eastAsia" w:ascii="宋体" w:hAnsi="宋体" w:eastAsia="宋体" w:cs="宋体"/>
          <w:b/>
          <w:sz w:val="20"/>
        </w:rPr>
        <w:br w:type="page"/>
      </w:r>
    </w:p>
    <w:tbl>
      <w:tblPr>
        <w:tblStyle w:val="18"/>
        <w:tblW w:w="9180" w:type="dxa"/>
        <w:tblInd w:w="93" w:type="dxa"/>
        <w:shd w:val="clear" w:color="auto" w:fill="auto"/>
        <w:tblLayout w:type="fixed"/>
        <w:tblCellMar>
          <w:top w:w="0" w:type="dxa"/>
          <w:left w:w="108" w:type="dxa"/>
          <w:bottom w:w="0" w:type="dxa"/>
          <w:right w:w="108" w:type="dxa"/>
        </w:tblCellMar>
      </w:tblPr>
      <w:tblGrid>
        <w:gridCol w:w="949"/>
        <w:gridCol w:w="1190"/>
        <w:gridCol w:w="2475"/>
        <w:gridCol w:w="1096"/>
        <w:gridCol w:w="1476"/>
        <w:gridCol w:w="1048"/>
        <w:gridCol w:w="946"/>
      </w:tblGrid>
      <w:tr>
        <w:tblPrEx>
          <w:shd w:val="clear" w:color="auto" w:fill="auto"/>
          <w:tblCellMar>
            <w:top w:w="0" w:type="dxa"/>
            <w:left w:w="108" w:type="dxa"/>
            <w:bottom w:w="0" w:type="dxa"/>
            <w:right w:w="108" w:type="dxa"/>
          </w:tblCellMar>
        </w:tblPrEx>
        <w:trPr>
          <w:trHeight w:val="427" w:hRule="atLeast"/>
        </w:trPr>
        <w:tc>
          <w:tcPr>
            <w:tcW w:w="918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工程施工费预算表</w:t>
            </w:r>
          </w:p>
        </w:tc>
      </w:tr>
      <w:tr>
        <w:tblPrEx>
          <w:tblCellMar>
            <w:top w:w="0" w:type="dxa"/>
            <w:left w:w="108" w:type="dxa"/>
            <w:bottom w:w="0" w:type="dxa"/>
            <w:right w:w="108" w:type="dxa"/>
          </w:tblCellMar>
        </w:tblPrEx>
        <w:trPr>
          <w:trHeight w:val="548" w:hRule="atLeast"/>
        </w:trPr>
        <w:tc>
          <w:tcPr>
            <w:tcW w:w="7186"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99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CellMar>
            <w:top w:w="0" w:type="dxa"/>
            <w:left w:w="108" w:type="dxa"/>
            <w:bottom w:w="0" w:type="dxa"/>
            <w:right w:w="108" w:type="dxa"/>
          </w:tblCellMar>
        </w:tblPrEx>
        <w:trPr>
          <w:trHeight w:val="285" w:hRule="atLeast"/>
        </w:trPr>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定额编号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单项名称</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r>
      <w:tr>
        <w:tblPrEx>
          <w:tblCellMar>
            <w:top w:w="0" w:type="dxa"/>
            <w:left w:w="108" w:type="dxa"/>
            <w:bottom w:w="0" w:type="dxa"/>
            <w:right w:w="108" w:type="dxa"/>
          </w:tblCellMar>
        </w:tblPrEx>
        <w:trPr>
          <w:trHeight w:val="285"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土地复垦工程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基底垫渣</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38306.15</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3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1m3挖掘机挖装自卸汽车运土  运距≤0.5km 自卸汽车 柴油型  载重量5t</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383.06</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覆土工程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120630.24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3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1m3挖掘机挖装自卸汽车运土  运距≤0.5km 自卸汽车 柴油型  载重量5t</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1206.3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土地平整</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169864.43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10333</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推土机平土 Ⅲ类土</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1698.64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耕地土壤培肥</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25948.25</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土壤检测分析</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客土</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120630.24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排水工程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浆砌石排水渠</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6.1.1</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沟槽开挖</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3459.86</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59"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10060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人工挖沟槽Ⅲ类土 上口宽度1.5m</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浆砌石砌筑</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2476.95</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59"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30028</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浆砌块石 排水沟 [30089]机械拌制砂浆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24.77</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6.1.3</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砂浆抹面</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8256.49</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3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30075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砌体砂浆抹面 平面 厚20mm 增厚 0 mm [30089]机械拌制砂浆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82.56</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伸缩缝</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125.37</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40280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沥青油毡 二毡三油</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消力池</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沟槽开挖</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59"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10060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人工挖沟槽Ⅲ类土 上口宽度1.5m</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浆砌石砌筑</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59"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30025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浆砌块石 基础 [30089]机械拌制砂浆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6.2.3</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砂浆抹面</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3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30075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砌体砂浆抹面 平面 厚20mm 增厚 0 mm [30089]机械拌制砂浆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9180" w:type="dxa"/>
            <w:gridSpan w:val="7"/>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填表说明：1.表中（6）=（4）*（5）         2.表中（5）见表3-2.</w:t>
            </w:r>
          </w:p>
        </w:tc>
      </w:tr>
      <w:tr>
        <w:tblPrEx>
          <w:tblCellMar>
            <w:top w:w="0" w:type="dxa"/>
            <w:left w:w="108" w:type="dxa"/>
            <w:bottom w:w="0" w:type="dxa"/>
            <w:right w:w="108" w:type="dxa"/>
          </w:tblCellMar>
        </w:tblPrEx>
        <w:trPr>
          <w:trHeight w:val="274" w:hRule="atLeast"/>
        </w:trPr>
        <w:tc>
          <w:tcPr>
            <w:tcW w:w="918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bl>
    <w:p>
      <w:pPr>
        <w:rPr>
          <w:rFonts w:hint="eastAsia" w:ascii="宋体" w:hAnsi="宋体" w:eastAsia="宋体" w:cs="宋体"/>
          <w:b/>
          <w:sz w:val="20"/>
        </w:rPr>
      </w:pPr>
      <w:r>
        <w:rPr>
          <w:rFonts w:hint="eastAsia" w:ascii="宋体" w:hAnsi="宋体" w:eastAsia="宋体" w:cs="宋体"/>
          <w:b/>
          <w:sz w:val="20"/>
        </w:rPr>
        <w:br w:type="page"/>
      </w:r>
    </w:p>
    <w:tbl>
      <w:tblPr>
        <w:tblStyle w:val="18"/>
        <w:tblW w:w="9745" w:type="dxa"/>
        <w:tblInd w:w="93" w:type="dxa"/>
        <w:shd w:val="clear" w:color="auto" w:fill="auto"/>
        <w:tblLayout w:type="fixed"/>
        <w:tblCellMar>
          <w:top w:w="0" w:type="dxa"/>
          <w:left w:w="108" w:type="dxa"/>
          <w:bottom w:w="0" w:type="dxa"/>
          <w:right w:w="108" w:type="dxa"/>
        </w:tblCellMar>
      </w:tblPr>
      <w:tblGrid>
        <w:gridCol w:w="1124"/>
        <w:gridCol w:w="1394"/>
        <w:gridCol w:w="3436"/>
        <w:gridCol w:w="875"/>
        <w:gridCol w:w="975"/>
        <w:gridCol w:w="946"/>
        <w:gridCol w:w="995"/>
      </w:tblGrid>
      <w:tr>
        <w:tblPrEx>
          <w:tblCellMar>
            <w:top w:w="0" w:type="dxa"/>
            <w:left w:w="108" w:type="dxa"/>
            <w:bottom w:w="0" w:type="dxa"/>
            <w:right w:w="108" w:type="dxa"/>
          </w:tblCellMar>
        </w:tblPrEx>
        <w:trPr>
          <w:trHeight w:val="338" w:hRule="atLeast"/>
        </w:trPr>
        <w:tc>
          <w:tcPr>
            <w:tcW w:w="974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工程施工费预算表</w:t>
            </w:r>
          </w:p>
        </w:tc>
      </w:tr>
      <w:tr>
        <w:tblPrEx>
          <w:tblCellMar>
            <w:top w:w="0" w:type="dxa"/>
            <w:left w:w="108" w:type="dxa"/>
            <w:bottom w:w="0" w:type="dxa"/>
            <w:right w:w="108" w:type="dxa"/>
          </w:tblCellMar>
        </w:tblPrEx>
        <w:trPr>
          <w:trHeight w:val="391" w:hRule="atLeast"/>
        </w:trPr>
        <w:tc>
          <w:tcPr>
            <w:tcW w:w="7804"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941"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CellMar>
            <w:top w:w="0" w:type="dxa"/>
            <w:left w:w="108" w:type="dxa"/>
            <w:bottom w:w="0" w:type="dxa"/>
            <w:right w:w="108" w:type="dxa"/>
          </w:tblCellMar>
        </w:tblPrEx>
        <w:trPr>
          <w:trHeight w:val="321"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定额编号</w:t>
            </w: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单项名称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r>
      <w:tr>
        <w:tblPrEx>
          <w:tblCellMar>
            <w:top w:w="0" w:type="dxa"/>
            <w:left w:w="108" w:type="dxa"/>
            <w:bottom w:w="0" w:type="dxa"/>
            <w:right w:w="108" w:type="dxa"/>
          </w:tblCellMar>
        </w:tblPrEx>
        <w:trPr>
          <w:trHeight w:val="279"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shd w:val="clear" w:color="auto" w:fill="auto"/>
          <w:tblCellMar>
            <w:top w:w="0" w:type="dxa"/>
            <w:left w:w="108" w:type="dxa"/>
            <w:bottom w:w="0" w:type="dxa"/>
            <w:right w:w="108" w:type="dxa"/>
          </w:tblCellMar>
        </w:tblPrEx>
        <w:trPr>
          <w:trHeight w:val="9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管涵</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6"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6.3.1</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6"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沟槽开挖</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8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20004</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人工一般石方开挖沟槽石方 岩石级别Ⅴ-Ⅷ</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0.27</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6.3.3</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管顶回填</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39"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1m3挖掘机挖装自卸汽车运土  运距≤0.5km 自卸汽车 柴油型  载重量5t</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管道镇墩</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40046</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管道镇墩</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6.3.5</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水泥砂浆</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30089</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机械拌制砂浆</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沥青油毡</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40280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沥青油毡 二毡三油</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警示工程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警示牌</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防护网</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3974.28</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路床压实</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8193.12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80001</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路床(槽)压实</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1000m2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泥结碎石路面</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8193.12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9"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80027+80028*5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泥结碎石路面 机械摊铺 压实厚度100mm 增厚 50 mm</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1000m2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73"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1"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大叶女贞栽植</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3"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90003</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栽植乔木 土球直径400mm以内 III类土</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14"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侧柏栽植</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9631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1"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90003</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栽植乔木 土球直径400mm以内 III类土</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96.31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31"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刺槐栽植</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1455</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1"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90003</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栽植乔木 土球直径400mm以内 III类土</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14.55</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9"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爬山虎栽植</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28481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90018</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栽植灌木 冠丛高在0.1m以内 III类土</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284.81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60" w:hRule="atLeast"/>
        </w:trPr>
        <w:tc>
          <w:tcPr>
            <w:tcW w:w="1124"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59" w:hRule="atLeast"/>
        </w:trPr>
        <w:tc>
          <w:tcPr>
            <w:tcW w:w="9745" w:type="dxa"/>
            <w:gridSpan w:val="7"/>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填表说明：1.表中（6）=（4）*（5）         2.表中（5）见表3-2.</w:t>
            </w:r>
          </w:p>
        </w:tc>
      </w:tr>
      <w:tr>
        <w:tblPrEx>
          <w:shd w:val="clear" w:color="auto" w:fill="auto"/>
          <w:tblCellMar>
            <w:top w:w="0" w:type="dxa"/>
            <w:left w:w="108" w:type="dxa"/>
            <w:bottom w:w="0" w:type="dxa"/>
            <w:right w:w="108" w:type="dxa"/>
          </w:tblCellMar>
        </w:tblPrEx>
        <w:trPr>
          <w:trHeight w:val="360" w:hRule="atLeast"/>
        </w:trPr>
        <w:tc>
          <w:tcPr>
            <w:tcW w:w="974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bl>
    <w:p>
      <w:pPr>
        <w:rPr>
          <w:rFonts w:hint="eastAsia" w:ascii="宋体" w:hAnsi="宋体" w:eastAsia="宋体" w:cs="宋体"/>
          <w:b/>
          <w:sz w:val="20"/>
        </w:rPr>
      </w:pPr>
    </w:p>
    <w:p>
      <w:pPr>
        <w:rPr>
          <w:rFonts w:hint="eastAsia" w:ascii="宋体" w:hAnsi="宋体" w:eastAsia="宋体" w:cs="宋体"/>
          <w:b/>
          <w:sz w:val="20"/>
        </w:rPr>
      </w:pPr>
    </w:p>
    <w:p>
      <w:pPr>
        <w:rPr>
          <w:rFonts w:hint="eastAsia" w:ascii="宋体" w:hAnsi="宋体" w:eastAsia="宋体" w:cs="宋体"/>
          <w:b/>
          <w:sz w:val="20"/>
        </w:rPr>
      </w:pPr>
      <w:r>
        <w:rPr>
          <w:rFonts w:hint="eastAsia" w:ascii="宋体" w:hAnsi="宋体" w:eastAsia="宋体" w:cs="宋体"/>
          <w:b/>
          <w:sz w:val="20"/>
        </w:rPr>
        <w:br w:type="page"/>
      </w:r>
    </w:p>
    <w:tbl>
      <w:tblPr>
        <w:tblStyle w:val="18"/>
        <w:tblW w:w="9788" w:type="dxa"/>
        <w:tblInd w:w="93" w:type="dxa"/>
        <w:shd w:val="clear" w:color="auto" w:fill="auto"/>
        <w:tblLayout w:type="fixed"/>
        <w:tblCellMar>
          <w:top w:w="0" w:type="dxa"/>
          <w:left w:w="108" w:type="dxa"/>
          <w:bottom w:w="0" w:type="dxa"/>
          <w:right w:w="108" w:type="dxa"/>
        </w:tblCellMar>
      </w:tblPr>
      <w:tblGrid>
        <w:gridCol w:w="1327"/>
        <w:gridCol w:w="1205"/>
        <w:gridCol w:w="2972"/>
        <w:gridCol w:w="1091"/>
        <w:gridCol w:w="1091"/>
        <w:gridCol w:w="1049"/>
        <w:gridCol w:w="1053"/>
      </w:tblGrid>
      <w:tr>
        <w:tblPrEx>
          <w:tblCellMar>
            <w:top w:w="0" w:type="dxa"/>
            <w:left w:w="108" w:type="dxa"/>
            <w:bottom w:w="0" w:type="dxa"/>
            <w:right w:w="108" w:type="dxa"/>
          </w:tblCellMar>
        </w:tblPrEx>
        <w:trPr>
          <w:trHeight w:val="600" w:hRule="atLeast"/>
        </w:trPr>
        <w:tc>
          <w:tcPr>
            <w:tcW w:w="9788"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工程施工费预算表</w:t>
            </w:r>
          </w:p>
        </w:tc>
      </w:tr>
      <w:tr>
        <w:tblPrEx>
          <w:tblCellMar>
            <w:top w:w="0" w:type="dxa"/>
            <w:left w:w="108" w:type="dxa"/>
            <w:bottom w:w="0" w:type="dxa"/>
            <w:right w:w="108" w:type="dxa"/>
          </w:tblCellMar>
        </w:tblPrEx>
        <w:trPr>
          <w:trHeight w:val="360" w:hRule="atLeast"/>
        </w:trPr>
        <w:tc>
          <w:tcPr>
            <w:tcW w:w="7686"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02"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shd w:val="clear" w:color="auto" w:fill="auto"/>
          <w:tblCellMar>
            <w:top w:w="0" w:type="dxa"/>
            <w:left w:w="108" w:type="dxa"/>
            <w:bottom w:w="0" w:type="dxa"/>
            <w:right w:w="108" w:type="dxa"/>
          </w:tblCellMar>
        </w:tblPrEx>
        <w:trPr>
          <w:trHeight w:val="499" w:hRule="atLeast"/>
        </w:trPr>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定额编号</w:t>
            </w:r>
          </w:p>
        </w:tc>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单项名称</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r>
      <w:tr>
        <w:tblPrEx>
          <w:tblCellMar>
            <w:top w:w="0" w:type="dxa"/>
            <w:left w:w="108" w:type="dxa"/>
            <w:bottom w:w="0" w:type="dxa"/>
            <w:right w:w="108" w:type="dxa"/>
          </w:tblCellMar>
        </w:tblPrEx>
        <w:trPr>
          <w:trHeight w:val="402" w:hRule="atLeast"/>
        </w:trPr>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CellMar>
            <w:top w:w="0" w:type="dxa"/>
            <w:left w:w="108" w:type="dxa"/>
            <w:bottom w:w="0" w:type="dxa"/>
            <w:right w:w="108" w:type="dxa"/>
          </w:tblCellMar>
        </w:tblPrEx>
        <w:trPr>
          <w:trHeight w:val="36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小叶女贞栽植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87424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90018</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栽植灌木 冠丛高在0.1m以内 III类土</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874.24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草籽播撒</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hm2</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90030</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撒播 不覆土</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hm2</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0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乔木养护（一年）</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11629</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39"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后期管理费 乔木果树 土球Φ100以下 胸径Φ10以下</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11629</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灌木养护（一年）</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115905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8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1-134</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后期管理费 灌木 土球Φ80以内 冠高1.5m以内</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115905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灌溉工程</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农用井</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农用井成孔</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60061</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农用井成孔—基岩Ⅳ类 孔径250～300mm</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14"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井管安装</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39"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60085</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农用井井管安装—(钢筋)混凝土管或无砂混凝土管 井管内径250～300mm</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1"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抽水洗井</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8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60103</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农用井洗井—抽水洗井 井管内径250～300mm</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井房修建</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8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100115</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辅助房屋 甲型 外墙采用清水墙勾缝</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100m2</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1"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电力线路架设</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km</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0.66</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8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100021</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380V线路架设 水泥电杆 电杆长度7～9m</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1km</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0.66</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86"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标志碑</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14"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监测工程</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8"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地质灾害监测</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2"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复垦效果监测</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0" w:hRule="atLeast"/>
        </w:trPr>
        <w:tc>
          <w:tcPr>
            <w:tcW w:w="5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   计</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9" w:hRule="atLeast"/>
        </w:trPr>
        <w:tc>
          <w:tcPr>
            <w:tcW w:w="1327"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2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59" w:hRule="atLeast"/>
        </w:trPr>
        <w:tc>
          <w:tcPr>
            <w:tcW w:w="9788" w:type="dxa"/>
            <w:gridSpan w:val="7"/>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填表说明：1.表中（6）=（4）*（5）         2.表中（5）见表3-2.</w:t>
            </w:r>
          </w:p>
        </w:tc>
      </w:tr>
      <w:tr>
        <w:tblPrEx>
          <w:tblCellMar>
            <w:top w:w="0" w:type="dxa"/>
            <w:left w:w="108" w:type="dxa"/>
            <w:bottom w:w="0" w:type="dxa"/>
            <w:right w:w="108" w:type="dxa"/>
          </w:tblCellMar>
        </w:tblPrEx>
        <w:trPr>
          <w:trHeight w:val="360" w:hRule="atLeast"/>
        </w:trPr>
        <w:tc>
          <w:tcPr>
            <w:tcW w:w="9788"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bl>
    <w:p>
      <w:pPr>
        <w:rPr>
          <w:rFonts w:hint="eastAsia" w:ascii="宋体" w:hAnsi="宋体" w:eastAsia="宋体" w:cs="宋体"/>
          <w:b/>
          <w:sz w:val="20"/>
        </w:rPr>
      </w:pPr>
      <w:r>
        <w:rPr>
          <w:rFonts w:hint="eastAsia" w:ascii="宋体" w:hAnsi="宋体" w:eastAsia="宋体" w:cs="宋体"/>
          <w:b/>
          <w:sz w:val="20"/>
        </w:rPr>
        <w:br w:type="page"/>
      </w:r>
    </w:p>
    <w:tbl>
      <w:tblPr>
        <w:tblStyle w:val="18"/>
        <w:tblW w:w="8540" w:type="dxa"/>
        <w:tblInd w:w="93" w:type="dxa"/>
        <w:shd w:val="clear" w:color="auto" w:fill="auto"/>
        <w:tblLayout w:type="autofit"/>
        <w:tblCellMar>
          <w:top w:w="0" w:type="dxa"/>
          <w:left w:w="108" w:type="dxa"/>
          <w:bottom w:w="0" w:type="dxa"/>
          <w:right w:w="108" w:type="dxa"/>
        </w:tblCellMar>
      </w:tblPr>
      <w:tblGrid>
        <w:gridCol w:w="774"/>
        <w:gridCol w:w="1848"/>
        <w:gridCol w:w="861"/>
        <w:gridCol w:w="700"/>
        <w:gridCol w:w="723"/>
        <w:gridCol w:w="940"/>
        <w:gridCol w:w="1037"/>
        <w:gridCol w:w="1748"/>
      </w:tblGrid>
      <w:tr>
        <w:tblPrEx>
          <w:tblCellMar>
            <w:top w:w="0" w:type="dxa"/>
            <w:left w:w="108" w:type="dxa"/>
            <w:bottom w:w="0" w:type="dxa"/>
            <w:right w:w="108" w:type="dxa"/>
          </w:tblCellMar>
        </w:tblPrEx>
        <w:trPr>
          <w:trHeight w:val="656" w:hRule="atLeast"/>
        </w:trPr>
        <w:tc>
          <w:tcPr>
            <w:tcW w:w="854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设备购置费表</w:t>
            </w:r>
          </w:p>
        </w:tc>
      </w:tr>
      <w:tr>
        <w:tblPrEx>
          <w:shd w:val="clear" w:color="auto" w:fill="auto"/>
          <w:tblCellMar>
            <w:top w:w="0" w:type="dxa"/>
            <w:left w:w="108" w:type="dxa"/>
            <w:bottom w:w="0" w:type="dxa"/>
            <w:right w:w="108" w:type="dxa"/>
          </w:tblCellMar>
        </w:tblPrEx>
        <w:trPr>
          <w:trHeight w:val="367" w:hRule="atLeast"/>
        </w:trPr>
        <w:tc>
          <w:tcPr>
            <w:tcW w:w="668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86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CellMar>
            <w:top w:w="0" w:type="dxa"/>
            <w:left w:w="108" w:type="dxa"/>
            <w:bottom w:w="0" w:type="dxa"/>
            <w:right w:w="108" w:type="dxa"/>
          </w:tblCellMar>
        </w:tblPrEx>
        <w:trPr>
          <w:trHeight w:val="378" w:hRule="atLeast"/>
        </w:trPr>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r>
      <w:tr>
        <w:tblPrEx>
          <w:tblCellMar>
            <w:top w:w="0" w:type="dxa"/>
            <w:left w:w="108" w:type="dxa"/>
            <w:bottom w:w="0" w:type="dxa"/>
            <w:right w:w="108" w:type="dxa"/>
          </w:tblCellMar>
        </w:tblPrEx>
        <w:trPr>
          <w:trHeight w:val="378" w:hRule="atLeast"/>
        </w:trPr>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CellMar>
            <w:top w:w="0" w:type="dxa"/>
            <w:left w:w="108" w:type="dxa"/>
            <w:bottom w:w="0" w:type="dxa"/>
            <w:right w:w="108" w:type="dxa"/>
          </w:tblCellMar>
        </w:tblPrEx>
        <w:trPr>
          <w:trHeight w:val="37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变配电及电气控制设备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干式变压器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排灌设备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潜水泵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7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井口装置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井口装置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78" w:hRule="atLeast"/>
        </w:trPr>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274" w:hRule="atLeast"/>
        </w:trPr>
        <w:tc>
          <w:tcPr>
            <w:tcW w:w="0" w:type="auto"/>
            <w:gridSpan w:val="8"/>
            <w:tcBorders>
              <w:top w:val="single" w:color="000000"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shd w:val="clear" w:color="auto" w:fill="auto"/>
          <w:tblCellMar>
            <w:top w:w="0" w:type="dxa"/>
            <w:left w:w="108" w:type="dxa"/>
            <w:bottom w:w="0" w:type="dxa"/>
            <w:right w:w="108" w:type="dxa"/>
          </w:tblCellMar>
        </w:tblPrEx>
        <w:trPr>
          <w:trHeight w:val="23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13" w:hRule="atLeast"/>
        </w:trPr>
        <w:tc>
          <w:tcPr>
            <w:tcW w:w="0" w:type="auto"/>
            <w:gridSpan w:val="8"/>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填表说明：1、本表应根据具体的设备购置进行计算，包括设备规格（2）、单位（3）、数量（4）、单价（5）以及说明（7）。          2、表中(6)=(4)×(5)</w:t>
            </w:r>
          </w:p>
        </w:tc>
      </w:tr>
      <w:tr>
        <w:tblPrEx>
          <w:tblCellMar>
            <w:top w:w="0" w:type="dxa"/>
            <w:left w:w="108" w:type="dxa"/>
            <w:bottom w:w="0" w:type="dxa"/>
            <w:right w:w="108" w:type="dxa"/>
          </w:tblCellMar>
        </w:tblPrEx>
        <w:trPr>
          <w:trHeight w:val="367"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bl>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rPr>
          <w:rFonts w:hint="eastAsia" w:ascii="宋体" w:hAnsi="宋体" w:eastAsia="宋体" w:cs="宋体"/>
          <w:b/>
          <w:sz w:val="20"/>
        </w:rPr>
      </w:pPr>
      <w:r>
        <w:rPr>
          <w:rFonts w:hint="eastAsia" w:ascii="宋体" w:hAnsi="宋体" w:eastAsia="宋体" w:cs="宋体"/>
          <w:b/>
          <w:sz w:val="20"/>
        </w:rPr>
        <w:br w:type="page"/>
      </w:r>
    </w:p>
    <w:tbl>
      <w:tblPr>
        <w:tblStyle w:val="18"/>
        <w:tblW w:w="8680" w:type="dxa"/>
        <w:tblInd w:w="93" w:type="dxa"/>
        <w:shd w:val="clear" w:color="auto" w:fill="auto"/>
        <w:tblLayout w:type="autofit"/>
        <w:tblCellMar>
          <w:top w:w="0" w:type="dxa"/>
          <w:left w:w="108" w:type="dxa"/>
          <w:bottom w:w="0" w:type="dxa"/>
          <w:right w:w="108" w:type="dxa"/>
        </w:tblCellMar>
      </w:tblPr>
      <w:tblGrid>
        <w:gridCol w:w="654"/>
        <w:gridCol w:w="2086"/>
        <w:gridCol w:w="3282"/>
        <w:gridCol w:w="1329"/>
        <w:gridCol w:w="1329"/>
      </w:tblGrid>
      <w:tr>
        <w:tblPrEx>
          <w:tblCellMar>
            <w:top w:w="0" w:type="dxa"/>
            <w:left w:w="108" w:type="dxa"/>
            <w:bottom w:w="0" w:type="dxa"/>
            <w:right w:w="108" w:type="dxa"/>
          </w:tblCellMar>
        </w:tblPrEx>
        <w:trPr>
          <w:trHeight w:val="583" w:hRule="atLeast"/>
        </w:trPr>
        <w:tc>
          <w:tcPr>
            <w:tcW w:w="868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其他费用表</w:t>
            </w:r>
          </w:p>
        </w:tc>
      </w:tr>
      <w:tr>
        <w:tblPrEx>
          <w:shd w:val="clear" w:color="auto" w:fill="auto"/>
          <w:tblCellMar>
            <w:top w:w="0" w:type="dxa"/>
            <w:left w:w="108" w:type="dxa"/>
            <w:bottom w:w="0" w:type="dxa"/>
            <w:right w:w="108" w:type="dxa"/>
          </w:tblCellMar>
        </w:tblPrEx>
        <w:trPr>
          <w:trHeight w:val="389" w:hRule="atLeast"/>
        </w:trPr>
        <w:tc>
          <w:tcPr>
            <w:tcW w:w="7351"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32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shd w:val="clear" w:color="auto" w:fill="auto"/>
          <w:tblCellMar>
            <w:top w:w="0" w:type="dxa"/>
            <w:left w:w="108" w:type="dxa"/>
            <w:bottom w:w="0" w:type="dxa"/>
            <w:right w:w="108" w:type="dxa"/>
          </w:tblCellMar>
        </w:tblPrEx>
        <w:trPr>
          <w:trHeight w:val="514"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费用名称</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计算式</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预算金额</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各项费用占工程施工费的比例(%)</w:t>
            </w:r>
          </w:p>
        </w:tc>
      </w:tr>
      <w:tr>
        <w:tblPrEx>
          <w:shd w:val="clear" w:color="auto" w:fill="auto"/>
          <w:tblCellMar>
            <w:top w:w="0" w:type="dxa"/>
            <w:left w:w="108" w:type="dxa"/>
            <w:bottom w:w="0" w:type="dxa"/>
            <w:right w:w="108" w:type="dxa"/>
          </w:tblCellMar>
        </w:tblPrEx>
        <w:trPr>
          <w:trHeight w:val="39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前期工作费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w:t>
            </w:r>
          </w:p>
        </w:tc>
      </w:tr>
      <w:tr>
        <w:tblPrEx>
          <w:shd w:val="clear" w:color="auto" w:fill="auto"/>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项目勘测费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项目设计及预算编制费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项目招标代理费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工程监理费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拆迁补偿</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竣工验收费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工程复核费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项目工程验收费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项目决算编制与审计费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整理后土地重估与登记费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标识设定费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39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业主管理费</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9"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w:t>
            </w:r>
          </w:p>
        </w:tc>
      </w:tr>
      <w:tr>
        <w:tblPrEx>
          <w:tblCellMar>
            <w:top w:w="0" w:type="dxa"/>
            <w:left w:w="108" w:type="dxa"/>
            <w:bottom w:w="0" w:type="dxa"/>
            <w:right w:w="108" w:type="dxa"/>
          </w:tblCellMar>
        </w:tblPrEx>
        <w:trPr>
          <w:trHeight w:val="399" w:hRule="atLeast"/>
        </w:trPr>
        <w:tc>
          <w:tcPr>
            <w:tcW w:w="0" w:type="auto"/>
            <w:gridSpan w:val="5"/>
            <w:tcBorders>
              <w:top w:val="single" w:color="000000"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CellMar>
            <w:top w:w="0" w:type="dxa"/>
            <w:left w:w="108" w:type="dxa"/>
            <w:bottom w:w="0" w:type="dxa"/>
            <w:right w:w="108" w:type="dxa"/>
          </w:tblCellMar>
        </w:tblPrEx>
        <w:trPr>
          <w:trHeight w:val="32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89"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bl>
    <w:p>
      <w:pPr>
        <w:rPr>
          <w:rFonts w:hint="eastAsia" w:ascii="宋体" w:hAnsi="宋体" w:eastAsia="宋体" w:cs="宋体"/>
          <w:b/>
          <w:sz w:val="20"/>
        </w:rPr>
      </w:pPr>
      <w:r>
        <w:rPr>
          <w:rFonts w:hint="eastAsia" w:ascii="宋体" w:hAnsi="宋体" w:eastAsia="宋体" w:cs="宋体"/>
          <w:b/>
          <w:sz w:val="20"/>
        </w:rPr>
        <w:br w:type="page"/>
      </w:r>
    </w:p>
    <w:tbl>
      <w:tblPr>
        <w:tblStyle w:val="18"/>
        <w:tblW w:w="8140" w:type="dxa"/>
        <w:tblInd w:w="93" w:type="dxa"/>
        <w:shd w:val="clear" w:color="auto" w:fill="auto"/>
        <w:tblLayout w:type="autofit"/>
        <w:tblCellMar>
          <w:top w:w="0" w:type="dxa"/>
          <w:left w:w="108" w:type="dxa"/>
          <w:bottom w:w="0" w:type="dxa"/>
          <w:right w:w="108" w:type="dxa"/>
        </w:tblCellMar>
      </w:tblPr>
      <w:tblGrid>
        <w:gridCol w:w="803"/>
        <w:gridCol w:w="1797"/>
        <w:gridCol w:w="1002"/>
        <w:gridCol w:w="1002"/>
        <w:gridCol w:w="1002"/>
        <w:gridCol w:w="1002"/>
        <w:gridCol w:w="1015"/>
        <w:gridCol w:w="1008"/>
      </w:tblGrid>
      <w:tr>
        <w:tblPrEx>
          <w:tblCellMar>
            <w:top w:w="0" w:type="dxa"/>
            <w:left w:w="108" w:type="dxa"/>
            <w:bottom w:w="0" w:type="dxa"/>
            <w:right w:w="108" w:type="dxa"/>
          </w:tblCellMar>
        </w:tblPrEx>
        <w:trPr>
          <w:trHeight w:val="368" w:hRule="atLeast"/>
        </w:trPr>
        <w:tc>
          <w:tcPr>
            <w:tcW w:w="814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不可预见费预算表</w:t>
            </w:r>
          </w:p>
        </w:tc>
      </w:tr>
      <w:tr>
        <w:tblPrEx>
          <w:shd w:val="clear" w:color="auto" w:fill="auto"/>
          <w:tblCellMar>
            <w:top w:w="0" w:type="dxa"/>
            <w:left w:w="108" w:type="dxa"/>
            <w:bottom w:w="0" w:type="dxa"/>
            <w:right w:w="108" w:type="dxa"/>
          </w:tblCellMar>
        </w:tblPrEx>
        <w:trPr>
          <w:trHeight w:val="365" w:hRule="atLeast"/>
        </w:trPr>
        <w:tc>
          <w:tcPr>
            <w:tcW w:w="7192"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w:t>
            </w:r>
          </w:p>
        </w:tc>
        <w:tc>
          <w:tcPr>
            <w:tcW w:w="94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单位：元</w:t>
            </w:r>
          </w:p>
        </w:tc>
      </w:tr>
      <w:tr>
        <w:tblPrEx>
          <w:shd w:val="clear" w:color="auto" w:fill="auto"/>
          <w:tblCellMar>
            <w:top w:w="0" w:type="dxa"/>
            <w:left w:w="108" w:type="dxa"/>
            <w:bottom w:w="0" w:type="dxa"/>
            <w:right w:w="108" w:type="dxa"/>
          </w:tblCellMar>
        </w:tblPrEx>
        <w:trPr>
          <w:trHeight w:val="393" w:hRule="atLeast"/>
        </w:trPr>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费用名称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工程施工费</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设备购置费</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r>
      <w:tr>
        <w:tblPrEx>
          <w:tblCellMar>
            <w:top w:w="0" w:type="dxa"/>
            <w:left w:w="108" w:type="dxa"/>
            <w:bottom w:w="0" w:type="dxa"/>
            <w:right w:w="108" w:type="dxa"/>
          </w:tblCellMar>
        </w:tblPrEx>
        <w:trPr>
          <w:trHeight w:val="393"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不可预见费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shd w:val="clear" w:color="auto" w:fill="auto"/>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393" w:hRule="atLeast"/>
        </w:trPr>
        <w:tc>
          <w:tcPr>
            <w:tcW w:w="2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91" w:hRule="atLeast"/>
        </w:trPr>
        <w:tc>
          <w:tcPr>
            <w:tcW w:w="0" w:type="auto"/>
            <w:gridSpan w:val="8"/>
            <w:tcBorders>
              <w:top w:val="single" w:color="000000"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shd w:val="clear" w:color="auto" w:fill="auto"/>
          <w:tblCellMar>
            <w:top w:w="0" w:type="dxa"/>
            <w:left w:w="108" w:type="dxa"/>
            <w:bottom w:w="0" w:type="dxa"/>
            <w:right w:w="108" w:type="dxa"/>
          </w:tblCellMar>
        </w:tblPrEx>
        <w:trPr>
          <w:trHeight w:val="347"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626" w:hRule="atLeast"/>
        </w:trPr>
        <w:tc>
          <w:tcPr>
            <w:tcW w:w="0" w:type="auto"/>
            <w:gridSpan w:val="8"/>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填表说明:1.表中的(5)=(2)+(3)+(4)，(2)见表3总计，(3)见表4总计；(4)见表5总计。           2.表中的(7)=(5)×(6)。</w:t>
            </w:r>
          </w:p>
        </w:tc>
      </w:tr>
      <w:tr>
        <w:tblPrEx>
          <w:tblCellMar>
            <w:top w:w="0" w:type="dxa"/>
            <w:left w:w="108" w:type="dxa"/>
            <w:bottom w:w="0" w:type="dxa"/>
            <w:right w:w="108" w:type="dxa"/>
          </w:tblCellMar>
        </w:tblPrEx>
        <w:trPr>
          <w:trHeight w:val="365"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bl>
    <w:p>
      <w:pPr>
        <w:rPr>
          <w:rFonts w:hint="eastAsia" w:ascii="宋体" w:hAnsi="宋体" w:eastAsia="宋体" w:cs="宋体"/>
          <w:b/>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rPr>
          <w:rFonts w:hint="eastAsia" w:ascii="宋体" w:hAnsi="宋体" w:eastAsia="宋体" w:cs="宋体"/>
          <w:b/>
          <w:sz w:val="30"/>
        </w:rPr>
      </w:pPr>
      <w:bookmarkStart w:id="1258" w:name="_bookmark9"/>
      <w:bookmarkEnd w:id="1258"/>
      <w:bookmarkStart w:id="1259" w:name="_Toc14713"/>
      <w:r>
        <w:rPr>
          <w:rFonts w:hint="eastAsia" w:ascii="宋体" w:hAnsi="宋体" w:eastAsia="宋体" w:cs="宋体"/>
          <w:b/>
          <w:sz w:val="30"/>
        </w:rPr>
        <w:br w:type="page"/>
      </w:r>
    </w:p>
    <w:p>
      <w:pPr>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eastAsia"/>
          <w:b/>
          <w:bCs/>
          <w:sz w:val="32"/>
          <w:szCs w:val="32"/>
        </w:rPr>
      </w:pPr>
      <w:bookmarkStart w:id="1260" w:name="_Toc7831"/>
      <w:r>
        <w:rPr>
          <w:rFonts w:hint="eastAsia"/>
          <w:b/>
          <w:bCs/>
          <w:sz w:val="32"/>
          <w:szCs w:val="32"/>
        </w:rPr>
        <w:t>第</w:t>
      </w:r>
      <w:r>
        <w:rPr>
          <w:rFonts w:hint="eastAsia"/>
          <w:b/>
          <w:bCs/>
          <w:sz w:val="32"/>
          <w:szCs w:val="32"/>
          <w:lang w:eastAsia="zh-CN"/>
        </w:rPr>
        <w:t>六</w:t>
      </w:r>
      <w:r>
        <w:rPr>
          <w:rFonts w:hint="eastAsia"/>
          <w:b/>
          <w:bCs/>
          <w:sz w:val="32"/>
          <w:szCs w:val="32"/>
        </w:rPr>
        <w:t>章</w:t>
      </w:r>
      <w:r>
        <w:rPr>
          <w:rFonts w:hint="eastAsia"/>
          <w:b/>
          <w:bCs/>
          <w:sz w:val="32"/>
          <w:szCs w:val="32"/>
          <w:lang w:val="en-US" w:eastAsia="zh-CN"/>
        </w:rPr>
        <w:t xml:space="preserve"> </w:t>
      </w:r>
      <w:r>
        <w:rPr>
          <w:rFonts w:hint="eastAsia"/>
          <w:b/>
          <w:bCs/>
          <w:sz w:val="32"/>
          <w:szCs w:val="32"/>
        </w:rPr>
        <w:t>技术标准和要求</w:t>
      </w:r>
      <w:bookmarkEnd w:id="1259"/>
      <w:bookmarkEnd w:id="1260"/>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11"/>
        <w:keepNext w:val="0"/>
        <w:keepLines w:val="0"/>
        <w:pageBreakBefore w:val="0"/>
        <w:widowControl w:val="0"/>
        <w:kinsoku/>
        <w:wordWrap/>
        <w:overflowPunct/>
        <w:topLinePunct w:val="0"/>
        <w:autoSpaceDE w:val="0"/>
        <w:autoSpaceDN w:val="0"/>
        <w:bidi w:val="0"/>
        <w:adjustRightInd/>
        <w:snapToGrid/>
        <w:spacing w:before="15" w:after="1"/>
        <w:textAlignment w:val="auto"/>
        <w:outlineLvl w:val="9"/>
        <w:rPr>
          <w:rFonts w:hint="eastAsia" w:ascii="宋体" w:hAnsi="宋体" w:eastAsia="宋体" w:cs="宋体"/>
          <w:b/>
          <w:sz w:val="10"/>
        </w:rPr>
      </w:pPr>
    </w:p>
    <w:p>
      <w:pPr>
        <w:pStyle w:val="11"/>
        <w:keepNext w:val="0"/>
        <w:keepLines w:val="0"/>
        <w:pageBreakBefore w:val="0"/>
        <w:widowControl w:val="0"/>
        <w:kinsoku/>
        <w:wordWrap/>
        <w:overflowPunct/>
        <w:topLinePunct w:val="0"/>
        <w:autoSpaceDE w:val="0"/>
        <w:autoSpaceDN w:val="0"/>
        <w:bidi w:val="0"/>
        <w:adjustRightInd/>
        <w:snapToGrid/>
        <w:spacing w:before="6" w:line="360" w:lineRule="auto"/>
        <w:textAlignment w:val="auto"/>
        <w:outlineLvl w:val="9"/>
        <w:rPr>
          <w:rFonts w:hint="eastAsia" w:ascii="宋体" w:hAnsi="宋体" w:eastAsia="宋体" w:cs="宋体"/>
          <w:b/>
          <w:sz w:val="24"/>
          <w:szCs w:val="24"/>
        </w:rPr>
      </w:pP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一、适用的规范、标准和规程</w:t>
      </w: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本工程适用现行国家、行业和地方规范、标准和规程。构成合同文件的任何内容与适用的规范、标准和规程之间出现矛盾，承包人应书面要求监理人予以澄清，除监理人有特别指示外，承包人应该按照最严格的标准执行。</w:t>
      </w: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w:t>
      </w: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二、施工及验收规范</w:t>
      </w: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2.1、本工程执行国家现行的与本工程有关的施工及验收规范、标准图集、图纸设计等。</w:t>
      </w: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2.2、主要质量检验评定标准</w:t>
      </w: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本工程执行国家现行的与本工程有关的质量检验评定标准。</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spacing w:before="7"/>
        <w:textAlignment w:val="auto"/>
        <w:outlineLvl w:val="9"/>
        <w:rPr>
          <w:rFonts w:hint="eastAsia" w:ascii="宋体" w:hAnsi="宋体" w:eastAsia="宋体" w:cs="宋体"/>
          <w:sz w:val="27"/>
        </w:r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bookmarkStart w:id="1261" w:name="_bookmark10"/>
      <w:bookmarkEnd w:id="1261"/>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p>
    <w:p>
      <w:pPr>
        <w:keepLines w:val="0"/>
        <w:kinsoku/>
        <w:overflowPunct/>
        <w:bidi w:val="0"/>
        <w:snapToGrid/>
        <w:outlineLvl w:val="9"/>
        <w:rPr>
          <w:rFonts w:hint="eastAsia" w:ascii="宋体" w:hAnsi="宋体" w:eastAsia="宋体" w:cs="宋体"/>
        </w:rPr>
      </w:pPr>
      <w:r>
        <w:rPr>
          <w:rFonts w:hint="eastAsia" w:ascii="宋体" w:hAnsi="宋体" w:eastAsia="宋体" w:cs="宋体"/>
        </w:rPr>
        <w:br w:type="page"/>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p>
    <w:p>
      <w:pPr>
        <w:keepNext w:val="0"/>
        <w:keepLines w:val="0"/>
        <w:pageBreakBefore w:val="0"/>
        <w:widowControl w:val="0"/>
        <w:tabs>
          <w:tab w:val="left" w:pos="1119"/>
        </w:tabs>
        <w:kinsoku/>
        <w:wordWrap/>
        <w:overflowPunct/>
        <w:topLinePunct w:val="0"/>
        <w:autoSpaceDE w:val="0"/>
        <w:autoSpaceDN w:val="0"/>
        <w:bidi w:val="0"/>
        <w:adjustRightInd/>
        <w:snapToGrid/>
        <w:spacing w:before="0" w:line="457" w:lineRule="exact"/>
        <w:ind w:left="0" w:right="17" w:firstLine="0"/>
        <w:jc w:val="center"/>
        <w:textAlignment w:val="auto"/>
        <w:outlineLvl w:val="9"/>
        <w:rPr>
          <w:rFonts w:hint="eastAsia" w:ascii="宋体" w:hAnsi="宋体" w:eastAsia="宋体" w:cs="宋体"/>
          <w:b/>
          <w:sz w:val="28"/>
        </w:rPr>
      </w:pPr>
      <w:bookmarkStart w:id="1262" w:name="_bookmark11"/>
      <w:bookmarkEnd w:id="1262"/>
      <w:bookmarkStart w:id="1263" w:name="_Toc29026"/>
    </w:p>
    <w:p>
      <w:pPr>
        <w:keepNext w:val="0"/>
        <w:keepLines w:val="0"/>
        <w:pageBreakBefore w:val="0"/>
        <w:widowControl w:val="0"/>
        <w:tabs>
          <w:tab w:val="left" w:pos="1119"/>
        </w:tabs>
        <w:kinsoku/>
        <w:wordWrap/>
        <w:overflowPunct/>
        <w:topLinePunct w:val="0"/>
        <w:autoSpaceDE w:val="0"/>
        <w:autoSpaceDN w:val="0"/>
        <w:bidi w:val="0"/>
        <w:adjustRightInd/>
        <w:snapToGrid/>
        <w:spacing w:before="0" w:line="457" w:lineRule="exact"/>
        <w:ind w:left="0" w:right="17" w:firstLine="0"/>
        <w:jc w:val="center"/>
        <w:textAlignment w:val="auto"/>
        <w:outlineLvl w:val="9"/>
        <w:rPr>
          <w:rFonts w:hint="eastAsia" w:ascii="宋体" w:hAnsi="宋体" w:eastAsia="宋体" w:cs="宋体"/>
          <w:b/>
          <w:sz w:val="28"/>
        </w:rPr>
      </w:pPr>
    </w:p>
    <w:p>
      <w:pPr>
        <w:keepNext w:val="0"/>
        <w:keepLines w:val="0"/>
        <w:pageBreakBefore w:val="0"/>
        <w:widowControl w:val="0"/>
        <w:tabs>
          <w:tab w:val="left" w:pos="1119"/>
        </w:tabs>
        <w:kinsoku/>
        <w:wordWrap/>
        <w:overflowPunct/>
        <w:topLinePunct w:val="0"/>
        <w:autoSpaceDE w:val="0"/>
        <w:autoSpaceDN w:val="0"/>
        <w:bidi w:val="0"/>
        <w:adjustRightInd/>
        <w:snapToGrid/>
        <w:spacing w:before="0" w:line="457" w:lineRule="exact"/>
        <w:ind w:left="0" w:right="17" w:firstLine="0"/>
        <w:jc w:val="center"/>
        <w:textAlignment w:val="auto"/>
        <w:outlineLvl w:val="9"/>
        <w:rPr>
          <w:rFonts w:hint="eastAsia" w:ascii="宋体" w:hAnsi="宋体" w:eastAsia="宋体" w:cs="宋体"/>
          <w:b/>
          <w:sz w:val="28"/>
        </w:rPr>
      </w:pPr>
    </w:p>
    <w:p>
      <w:pPr>
        <w:keepNext w:val="0"/>
        <w:keepLines w:val="0"/>
        <w:pageBreakBefore w:val="0"/>
        <w:widowControl w:val="0"/>
        <w:tabs>
          <w:tab w:val="left" w:pos="1119"/>
        </w:tabs>
        <w:kinsoku/>
        <w:wordWrap/>
        <w:overflowPunct/>
        <w:topLinePunct w:val="0"/>
        <w:autoSpaceDE w:val="0"/>
        <w:autoSpaceDN w:val="0"/>
        <w:bidi w:val="0"/>
        <w:adjustRightInd/>
        <w:snapToGrid/>
        <w:spacing w:before="0" w:line="457" w:lineRule="exact"/>
        <w:ind w:left="0" w:right="17" w:firstLine="0"/>
        <w:jc w:val="center"/>
        <w:textAlignment w:val="auto"/>
        <w:outlineLvl w:val="9"/>
        <w:rPr>
          <w:rFonts w:hint="eastAsia" w:ascii="宋体" w:hAnsi="宋体" w:eastAsia="宋体" w:cs="宋体"/>
          <w:b/>
          <w:sz w:val="28"/>
        </w:rPr>
      </w:pPr>
    </w:p>
    <w:p>
      <w:pPr>
        <w:keepNext w:val="0"/>
        <w:keepLines w:val="0"/>
        <w:pageBreakBefore w:val="0"/>
        <w:widowControl w:val="0"/>
        <w:tabs>
          <w:tab w:val="left" w:pos="1119"/>
        </w:tabs>
        <w:kinsoku/>
        <w:wordWrap/>
        <w:overflowPunct/>
        <w:topLinePunct w:val="0"/>
        <w:autoSpaceDE w:val="0"/>
        <w:autoSpaceDN w:val="0"/>
        <w:bidi w:val="0"/>
        <w:adjustRightInd/>
        <w:snapToGrid/>
        <w:spacing w:before="0" w:line="457" w:lineRule="exact"/>
        <w:ind w:left="0" w:right="17" w:firstLine="0"/>
        <w:jc w:val="center"/>
        <w:textAlignment w:val="auto"/>
        <w:outlineLvl w:val="9"/>
        <w:rPr>
          <w:rFonts w:hint="eastAsia" w:ascii="宋体" w:hAnsi="宋体" w:eastAsia="宋体" w:cs="宋体"/>
          <w:b/>
          <w:sz w:val="28"/>
        </w:rPr>
      </w:pPr>
    </w:p>
    <w:p>
      <w:pPr>
        <w:keepNext w:val="0"/>
        <w:keepLines w:val="0"/>
        <w:pageBreakBefore w:val="0"/>
        <w:widowControl w:val="0"/>
        <w:tabs>
          <w:tab w:val="left" w:pos="1119"/>
        </w:tabs>
        <w:kinsoku/>
        <w:wordWrap/>
        <w:overflowPunct/>
        <w:topLinePunct w:val="0"/>
        <w:autoSpaceDE w:val="0"/>
        <w:autoSpaceDN w:val="0"/>
        <w:bidi w:val="0"/>
        <w:adjustRightInd/>
        <w:snapToGrid/>
        <w:spacing w:before="0" w:line="457" w:lineRule="exact"/>
        <w:ind w:left="0" w:right="17" w:firstLine="0"/>
        <w:jc w:val="center"/>
        <w:textAlignment w:val="auto"/>
        <w:outlineLvl w:val="9"/>
        <w:rPr>
          <w:rFonts w:hint="eastAsia" w:ascii="宋体" w:hAnsi="宋体" w:eastAsia="宋体" w:cs="宋体"/>
          <w:b/>
          <w:sz w:val="28"/>
        </w:rPr>
      </w:pPr>
    </w:p>
    <w:p>
      <w:pPr>
        <w:keepNext w:val="0"/>
        <w:keepLines w:val="0"/>
        <w:pageBreakBefore w:val="0"/>
        <w:widowControl w:val="0"/>
        <w:tabs>
          <w:tab w:val="left" w:pos="1119"/>
        </w:tabs>
        <w:kinsoku/>
        <w:wordWrap/>
        <w:overflowPunct/>
        <w:topLinePunct w:val="0"/>
        <w:autoSpaceDE w:val="0"/>
        <w:autoSpaceDN w:val="0"/>
        <w:bidi w:val="0"/>
        <w:adjustRightInd/>
        <w:snapToGrid/>
        <w:spacing w:before="0" w:line="457" w:lineRule="exact"/>
        <w:ind w:left="0" w:right="17" w:firstLine="0"/>
        <w:jc w:val="center"/>
        <w:textAlignment w:val="auto"/>
        <w:outlineLvl w:val="9"/>
        <w:rPr>
          <w:rFonts w:hint="eastAsia" w:ascii="宋体" w:hAnsi="宋体" w:eastAsia="宋体" w:cs="宋体"/>
          <w:b/>
          <w:sz w:val="28"/>
        </w:rPr>
      </w:pPr>
    </w:p>
    <w:p>
      <w:pPr>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eastAsia"/>
          <w:b/>
          <w:bCs/>
          <w:sz w:val="32"/>
          <w:szCs w:val="32"/>
        </w:rPr>
      </w:pPr>
      <w:bookmarkStart w:id="1264" w:name="_Toc17710"/>
      <w:r>
        <w:rPr>
          <w:rFonts w:hint="eastAsia"/>
          <w:b/>
          <w:bCs/>
          <w:sz w:val="32"/>
          <w:szCs w:val="32"/>
        </w:rPr>
        <w:t>第</w:t>
      </w:r>
      <w:r>
        <w:rPr>
          <w:rFonts w:hint="eastAsia"/>
          <w:b/>
          <w:bCs/>
          <w:sz w:val="32"/>
          <w:szCs w:val="32"/>
          <w:lang w:eastAsia="zh-CN"/>
        </w:rPr>
        <w:t>七</w:t>
      </w:r>
      <w:r>
        <w:rPr>
          <w:rFonts w:hint="eastAsia"/>
          <w:b/>
          <w:bCs/>
          <w:sz w:val="32"/>
          <w:szCs w:val="32"/>
        </w:rPr>
        <w:t>章</w:t>
      </w:r>
      <w:r>
        <w:rPr>
          <w:rFonts w:hint="eastAsia"/>
          <w:b/>
          <w:bCs/>
          <w:sz w:val="32"/>
          <w:szCs w:val="32"/>
          <w:lang w:val="en-US" w:eastAsia="zh-CN"/>
        </w:rPr>
        <w:t xml:space="preserve"> </w:t>
      </w:r>
      <w:r>
        <w:rPr>
          <w:rFonts w:hint="eastAsia"/>
          <w:b/>
          <w:bCs/>
          <w:sz w:val="32"/>
          <w:szCs w:val="32"/>
        </w:rPr>
        <w:t>投标文件格式</w:t>
      </w:r>
      <w:bookmarkEnd w:id="1263"/>
      <w:bookmarkEnd w:id="1264"/>
    </w:p>
    <w:p>
      <w:pPr>
        <w:keepNext w:val="0"/>
        <w:keepLines w:val="0"/>
        <w:pageBreakBefore w:val="0"/>
        <w:widowControl w:val="0"/>
        <w:kinsoku/>
        <w:wordWrap/>
        <w:overflowPunct/>
        <w:topLinePunct w:val="0"/>
        <w:autoSpaceDE w:val="0"/>
        <w:autoSpaceDN w:val="0"/>
        <w:bidi w:val="0"/>
        <w:adjustRightInd/>
        <w:snapToGrid/>
        <w:spacing w:after="0" w:line="457" w:lineRule="exact"/>
        <w:jc w:val="center"/>
        <w:textAlignment w:val="auto"/>
        <w:outlineLvl w:val="9"/>
        <w:rPr>
          <w:rFonts w:hint="eastAsia" w:ascii="宋体" w:hAnsi="宋体" w:eastAsia="宋体" w:cs="宋体"/>
          <w:sz w:val="28"/>
        </w:rPr>
        <w:sectPr>
          <w:footerReference r:id="rId8" w:type="default"/>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11"/>
        <w:keepNext w:val="0"/>
        <w:keepLines w:val="0"/>
        <w:pageBreakBefore w:val="0"/>
        <w:widowControl w:val="0"/>
        <w:kinsoku/>
        <w:wordWrap/>
        <w:overflowPunct/>
        <w:topLinePunct w:val="0"/>
        <w:autoSpaceDE w:val="0"/>
        <w:autoSpaceDN w:val="0"/>
        <w:bidi w:val="0"/>
        <w:adjustRightInd/>
        <w:snapToGrid/>
        <w:spacing w:before="4"/>
        <w:textAlignment w:val="auto"/>
        <w:outlineLvl w:val="9"/>
        <w:rPr>
          <w:rFonts w:hint="eastAsia" w:ascii="宋体" w:hAnsi="宋体" w:eastAsia="宋体" w:cs="宋体"/>
          <w:b/>
          <w:sz w:val="29"/>
        </w:rPr>
      </w:pPr>
    </w:p>
    <w:p>
      <w:pPr>
        <w:keepNext w:val="0"/>
        <w:keepLines w:val="0"/>
        <w:pageBreakBefore w:val="0"/>
        <w:widowControl w:val="0"/>
        <w:tabs>
          <w:tab w:val="left" w:pos="2079"/>
          <w:tab w:val="left" w:pos="4599"/>
        </w:tabs>
        <w:kinsoku/>
        <w:wordWrap/>
        <w:overflowPunct/>
        <w:topLinePunct w:val="0"/>
        <w:autoSpaceDE w:val="0"/>
        <w:autoSpaceDN w:val="0"/>
        <w:bidi w:val="0"/>
        <w:adjustRightInd/>
        <w:snapToGrid/>
        <w:spacing w:before="70"/>
        <w:ind w:left="0" w:right="19"/>
        <w:jc w:val="center"/>
        <w:textAlignment w:val="auto"/>
        <w:outlineLvl w:val="9"/>
        <w:rPr>
          <w:rFonts w:hint="eastAsia" w:ascii="宋体" w:hAnsi="宋体" w:eastAsia="宋体" w:cs="宋体"/>
          <w:lang w:eastAsia="zh-CN"/>
        </w:rPr>
      </w:pPr>
      <w:r>
        <w:rPr>
          <w:rFonts w:hint="eastAsia" w:ascii="宋体" w:hAnsi="宋体" w:eastAsia="宋体" w:cs="宋体"/>
          <w:u w:val="single"/>
        </w:rPr>
        <w:t xml:space="preserve"> </w:t>
      </w:r>
      <w:r>
        <w:rPr>
          <w:rFonts w:hint="eastAsia" w:ascii="宋体" w:hAnsi="宋体" w:eastAsia="宋体" w:cs="宋体"/>
          <w:u w:val="single"/>
        </w:rPr>
        <w:tab/>
      </w:r>
      <w:bookmarkStart w:id="1265" w:name="_Toc24092"/>
      <w:bookmarkStart w:id="1266" w:name="_Toc29978"/>
      <w:bookmarkStart w:id="1267" w:name="_Toc27055"/>
      <w:r>
        <w:rPr>
          <w:rFonts w:hint="eastAsia" w:ascii="宋体" w:hAnsi="宋体" w:eastAsia="宋体" w:cs="宋体"/>
        </w:rPr>
        <w:t>（项目名称）</w:t>
      </w:r>
      <w:bookmarkEnd w:id="1265"/>
      <w:bookmarkEnd w:id="1266"/>
      <w:r>
        <w:rPr>
          <w:rFonts w:hint="eastAsia" w:cs="宋体"/>
          <w:lang w:eastAsia="zh-CN"/>
        </w:rPr>
        <w:t>施工</w:t>
      </w:r>
      <w:bookmarkEnd w:id="1267"/>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spacing w:before="8"/>
        <w:textAlignment w:val="auto"/>
        <w:outlineLvl w:val="9"/>
        <w:rPr>
          <w:rFonts w:hint="eastAsia" w:ascii="宋体" w:hAnsi="宋体" w:eastAsia="宋体" w:cs="宋体"/>
          <w:sz w:val="26"/>
        </w:rPr>
      </w:pPr>
    </w:p>
    <w:p>
      <w:pPr>
        <w:keepNext w:val="0"/>
        <w:keepLines w:val="0"/>
        <w:pageBreakBefore w:val="0"/>
        <w:widowControl w:val="0"/>
        <w:tabs>
          <w:tab w:val="left" w:pos="879"/>
          <w:tab w:val="left" w:pos="1759"/>
          <w:tab w:val="left" w:pos="2639"/>
        </w:tabs>
        <w:kinsoku/>
        <w:wordWrap/>
        <w:overflowPunct/>
        <w:topLinePunct w:val="0"/>
        <w:autoSpaceDE w:val="0"/>
        <w:autoSpaceDN w:val="0"/>
        <w:bidi w:val="0"/>
        <w:adjustRightInd/>
        <w:snapToGrid/>
        <w:spacing w:before="38"/>
        <w:ind w:left="0" w:right="19" w:firstLine="0"/>
        <w:jc w:val="center"/>
        <w:textAlignment w:val="auto"/>
        <w:outlineLvl w:val="9"/>
        <w:rPr>
          <w:rFonts w:hint="eastAsia" w:ascii="宋体" w:hAnsi="宋体" w:eastAsia="宋体" w:cs="宋体"/>
          <w:sz w:val="44"/>
        </w:rPr>
      </w:pPr>
      <w:r>
        <w:rPr>
          <w:rFonts w:hint="eastAsia" w:ascii="宋体" w:hAnsi="宋体" w:eastAsia="宋体" w:cs="宋体"/>
          <w:sz w:val="44"/>
        </w:rPr>
        <w:t>投</w:t>
      </w:r>
      <w:r>
        <w:rPr>
          <w:rFonts w:hint="eastAsia" w:ascii="宋体" w:hAnsi="宋体" w:eastAsia="宋体" w:cs="宋体"/>
          <w:sz w:val="44"/>
        </w:rPr>
        <w:tab/>
      </w:r>
      <w:r>
        <w:rPr>
          <w:rFonts w:hint="eastAsia" w:ascii="宋体" w:hAnsi="宋体" w:eastAsia="宋体" w:cs="宋体"/>
          <w:sz w:val="44"/>
        </w:rPr>
        <w:t>标</w:t>
      </w:r>
      <w:r>
        <w:rPr>
          <w:rFonts w:hint="eastAsia" w:ascii="宋体" w:hAnsi="宋体" w:eastAsia="宋体" w:cs="宋体"/>
          <w:sz w:val="44"/>
        </w:rPr>
        <w:tab/>
      </w:r>
      <w:r>
        <w:rPr>
          <w:rFonts w:hint="eastAsia" w:ascii="宋体" w:hAnsi="宋体" w:eastAsia="宋体" w:cs="宋体"/>
          <w:sz w:val="44"/>
        </w:rPr>
        <w:t>文</w:t>
      </w:r>
      <w:r>
        <w:rPr>
          <w:rFonts w:hint="eastAsia" w:ascii="宋体" w:hAnsi="宋体" w:eastAsia="宋体" w:cs="宋体"/>
          <w:sz w:val="44"/>
        </w:rPr>
        <w:tab/>
      </w:r>
      <w:r>
        <w:rPr>
          <w:rFonts w:hint="eastAsia" w:ascii="宋体" w:hAnsi="宋体" w:eastAsia="宋体" w:cs="宋体"/>
          <w:sz w:val="44"/>
        </w:rPr>
        <w:t>件</w:t>
      </w:r>
    </w:p>
    <w:p>
      <w:pPr>
        <w:keepNext w:val="0"/>
        <w:keepLines w:val="0"/>
        <w:pageBreakBefore w:val="0"/>
        <w:widowControl w:val="0"/>
        <w:kinsoku/>
        <w:wordWrap/>
        <w:overflowPunct/>
        <w:topLinePunct w:val="0"/>
        <w:autoSpaceDE w:val="0"/>
        <w:autoSpaceDN w:val="0"/>
        <w:bidi w:val="0"/>
        <w:adjustRightInd/>
        <w:snapToGrid/>
        <w:spacing w:before="5"/>
        <w:ind w:left="399" w:right="418" w:firstLine="0"/>
        <w:jc w:val="center"/>
        <w:textAlignment w:val="auto"/>
        <w:outlineLvl w:val="9"/>
        <w:rPr>
          <w:rFonts w:hint="eastAsia" w:ascii="宋体" w:hAnsi="宋体" w:eastAsia="宋体" w:cs="宋体"/>
          <w:sz w:val="32"/>
        </w:rPr>
      </w:pPr>
      <w:r>
        <w:rPr>
          <w:rFonts w:hint="eastAsia" w:ascii="宋体" w:hAnsi="宋体" w:eastAsia="宋体" w:cs="宋体"/>
          <w:sz w:val="32"/>
        </w:rPr>
        <w:t>项目编号：</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pStyle w:val="11"/>
        <w:keepNext w:val="0"/>
        <w:keepLines w:val="0"/>
        <w:pageBreakBefore w:val="0"/>
        <w:widowControl w:val="0"/>
        <w:kinsoku/>
        <w:wordWrap/>
        <w:overflowPunct/>
        <w:topLinePunct w:val="0"/>
        <w:autoSpaceDE w:val="0"/>
        <w:autoSpaceDN w:val="0"/>
        <w:bidi w:val="0"/>
        <w:adjustRightInd/>
        <w:snapToGrid/>
        <w:spacing w:before="8"/>
        <w:textAlignment w:val="auto"/>
        <w:outlineLvl w:val="9"/>
        <w:rPr>
          <w:rFonts w:hint="eastAsia" w:ascii="宋体" w:hAnsi="宋体" w:eastAsia="宋体" w:cs="宋体"/>
          <w:sz w:val="38"/>
        </w:rPr>
      </w:pPr>
    </w:p>
    <w:p>
      <w:pPr>
        <w:keepNext w:val="0"/>
        <w:keepLines w:val="0"/>
        <w:pageBreakBefore w:val="0"/>
        <w:widowControl w:val="0"/>
        <w:tabs>
          <w:tab w:val="left" w:pos="7162"/>
          <w:tab w:val="left" w:pos="7442"/>
        </w:tabs>
        <w:kinsoku/>
        <w:wordWrap/>
        <w:overflowPunct/>
        <w:topLinePunct w:val="0"/>
        <w:autoSpaceDE w:val="0"/>
        <w:autoSpaceDN w:val="0"/>
        <w:bidi w:val="0"/>
        <w:adjustRightInd/>
        <w:snapToGrid/>
        <w:spacing w:line="364" w:lineRule="auto"/>
        <w:ind w:right="1442"/>
        <w:textAlignment w:val="auto"/>
        <w:outlineLvl w:val="9"/>
        <w:rPr>
          <w:rFonts w:hint="eastAsia" w:ascii="宋体" w:hAnsi="宋体" w:eastAsia="宋体" w:cs="宋体"/>
        </w:rPr>
      </w:pPr>
    </w:p>
    <w:p>
      <w:pPr>
        <w:keepNext w:val="0"/>
        <w:keepLines w:val="0"/>
        <w:pageBreakBefore w:val="0"/>
        <w:widowControl w:val="0"/>
        <w:tabs>
          <w:tab w:val="left" w:pos="7162"/>
          <w:tab w:val="left" w:pos="7442"/>
        </w:tabs>
        <w:kinsoku/>
        <w:wordWrap/>
        <w:overflowPunct/>
        <w:topLinePunct w:val="0"/>
        <w:autoSpaceDE w:val="0"/>
        <w:autoSpaceDN w:val="0"/>
        <w:bidi w:val="0"/>
        <w:adjustRightInd/>
        <w:snapToGrid/>
        <w:spacing w:line="364" w:lineRule="auto"/>
        <w:ind w:right="1442"/>
        <w:textAlignment w:val="auto"/>
        <w:outlineLvl w:val="9"/>
        <w:rPr>
          <w:rFonts w:hint="eastAsia" w:ascii="宋体" w:hAnsi="宋体" w:eastAsia="宋体" w:cs="宋体"/>
        </w:rPr>
      </w:pPr>
    </w:p>
    <w:p>
      <w:pPr>
        <w:keepNext w:val="0"/>
        <w:keepLines w:val="0"/>
        <w:pageBreakBefore w:val="0"/>
        <w:widowControl w:val="0"/>
        <w:tabs>
          <w:tab w:val="left" w:pos="7162"/>
          <w:tab w:val="left" w:pos="7442"/>
        </w:tabs>
        <w:kinsoku/>
        <w:wordWrap/>
        <w:overflowPunct/>
        <w:topLinePunct w:val="0"/>
        <w:autoSpaceDE w:val="0"/>
        <w:autoSpaceDN w:val="0"/>
        <w:bidi w:val="0"/>
        <w:adjustRightInd/>
        <w:snapToGrid/>
        <w:spacing w:line="364" w:lineRule="auto"/>
        <w:ind w:right="1442"/>
        <w:textAlignment w:val="auto"/>
        <w:outlineLvl w:val="9"/>
        <w:rPr>
          <w:rFonts w:hint="eastAsia" w:ascii="宋体" w:hAnsi="宋体" w:eastAsia="宋体" w:cs="宋体"/>
        </w:rPr>
      </w:pPr>
    </w:p>
    <w:p>
      <w:pPr>
        <w:keepNext w:val="0"/>
        <w:keepLines w:val="0"/>
        <w:pageBreakBefore w:val="0"/>
        <w:widowControl w:val="0"/>
        <w:tabs>
          <w:tab w:val="left" w:pos="7162"/>
          <w:tab w:val="left" w:pos="7442"/>
        </w:tabs>
        <w:kinsoku/>
        <w:wordWrap/>
        <w:overflowPunct/>
        <w:topLinePunct w:val="0"/>
        <w:autoSpaceDE w:val="0"/>
        <w:autoSpaceDN w:val="0"/>
        <w:bidi w:val="0"/>
        <w:adjustRightInd/>
        <w:snapToGrid/>
        <w:spacing w:line="364" w:lineRule="auto"/>
        <w:ind w:right="1442"/>
        <w:textAlignment w:val="auto"/>
        <w:outlineLvl w:val="9"/>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 xml:space="preserve"> </w:t>
      </w:r>
      <w:r>
        <w:rPr>
          <w:rFonts w:hint="eastAsia" w:ascii="宋体" w:hAnsi="宋体" w:eastAsia="宋体" w:cs="宋体"/>
        </w:rPr>
        <w:t xml:space="preserve">（电子签章） </w:t>
      </w:r>
    </w:p>
    <w:p>
      <w:pPr>
        <w:keepNext w:val="0"/>
        <w:keepLines w:val="0"/>
        <w:pageBreakBefore w:val="0"/>
        <w:widowControl w:val="0"/>
        <w:tabs>
          <w:tab w:val="left" w:pos="7162"/>
          <w:tab w:val="left" w:pos="7442"/>
        </w:tabs>
        <w:kinsoku/>
        <w:wordWrap/>
        <w:overflowPunct/>
        <w:topLinePunct w:val="0"/>
        <w:autoSpaceDE w:val="0"/>
        <w:autoSpaceDN w:val="0"/>
        <w:bidi w:val="0"/>
        <w:adjustRightInd/>
        <w:snapToGrid/>
        <w:spacing w:line="364" w:lineRule="auto"/>
        <w:ind w:right="1442"/>
        <w:textAlignment w:val="auto"/>
        <w:outlineLvl w:val="9"/>
        <w:rPr>
          <w:rFonts w:hint="eastAsia" w:ascii="宋体" w:hAnsi="宋体" w:eastAsia="宋体" w:cs="宋体"/>
        </w:rPr>
      </w:pPr>
      <w:r>
        <w:rPr>
          <w:rFonts w:hint="eastAsia" w:ascii="宋体" w:hAnsi="宋体" w:eastAsia="宋体" w:cs="宋体"/>
        </w:rPr>
        <w:t>法定代表人或其委托代理人：（电子签章</w:t>
      </w:r>
      <w:r>
        <w:rPr>
          <w:rFonts w:hint="eastAsia" w:ascii="宋体" w:hAnsi="宋体" w:eastAsia="宋体" w:cs="宋体"/>
          <w:spacing w:val="-18"/>
        </w:rPr>
        <w:t>）</w:t>
      </w:r>
    </w:p>
    <w:p>
      <w:pPr>
        <w:keepNext w:val="0"/>
        <w:keepLines w:val="0"/>
        <w:pageBreakBefore w:val="0"/>
        <w:widowControl w:val="0"/>
        <w:tabs>
          <w:tab w:val="left" w:pos="1259"/>
          <w:tab w:val="left" w:pos="2799"/>
          <w:tab w:val="left" w:pos="4339"/>
        </w:tabs>
        <w:kinsoku/>
        <w:wordWrap/>
        <w:overflowPunct/>
        <w:topLinePunct w:val="0"/>
        <w:autoSpaceDE w:val="0"/>
        <w:autoSpaceDN w:val="0"/>
        <w:bidi w:val="0"/>
        <w:adjustRightInd/>
        <w:snapToGrid/>
        <w:spacing w:before="212"/>
        <w:ind w:left="0" w:right="19"/>
        <w:jc w:val="both"/>
        <w:textAlignment w:val="auto"/>
        <w:outlineLvl w:val="9"/>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keepNext w:val="0"/>
        <w:keepLines w:val="0"/>
        <w:pageBreakBefore w:val="0"/>
        <w:widowControl w:val="0"/>
        <w:kinsoku/>
        <w:wordWrap/>
        <w:overflowPunct/>
        <w:topLinePunct w:val="0"/>
        <w:autoSpaceDE w:val="0"/>
        <w:autoSpaceDN w:val="0"/>
        <w:bidi w:val="0"/>
        <w:adjustRightInd/>
        <w:snapToGrid/>
        <w:spacing w:after="0"/>
        <w:jc w:val="center"/>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spacing w:before="7"/>
        <w:textAlignment w:val="auto"/>
        <w:outlineLvl w:val="9"/>
        <w:rPr>
          <w:rFonts w:hint="eastAsia" w:ascii="宋体" w:hAnsi="宋体" w:eastAsia="宋体" w:cs="宋体"/>
          <w:sz w:val="15"/>
        </w:rPr>
      </w:pPr>
    </w:p>
    <w:p>
      <w:pPr>
        <w:keepNext w:val="0"/>
        <w:keepLines w:val="0"/>
        <w:pageBreakBefore w:val="0"/>
        <w:widowControl w:val="0"/>
        <w:tabs>
          <w:tab w:val="left" w:pos="959"/>
        </w:tabs>
        <w:kinsoku/>
        <w:wordWrap/>
        <w:overflowPunct/>
        <w:topLinePunct w:val="0"/>
        <w:autoSpaceDE w:val="0"/>
        <w:autoSpaceDN w:val="0"/>
        <w:bidi w:val="0"/>
        <w:adjustRightInd/>
        <w:snapToGrid/>
        <w:spacing w:line="539" w:lineRule="exact"/>
        <w:ind w:left="0" w:right="19"/>
        <w:jc w:val="center"/>
        <w:textAlignment w:val="auto"/>
        <w:outlineLvl w:val="9"/>
        <w:rPr>
          <w:rFonts w:hint="eastAsia" w:ascii="宋体" w:hAnsi="宋体" w:eastAsia="宋体" w:cs="宋体"/>
        </w:rPr>
      </w:pPr>
      <w:bookmarkStart w:id="1268" w:name="_bookmark12"/>
      <w:bookmarkEnd w:id="1268"/>
      <w:bookmarkStart w:id="1269" w:name="_Toc26104"/>
      <w:bookmarkStart w:id="1270" w:name="_Toc27089"/>
      <w:bookmarkStart w:id="1271" w:name="_Toc25235"/>
      <w:r>
        <w:rPr>
          <w:rFonts w:hint="eastAsia" w:ascii="宋体" w:hAnsi="宋体" w:eastAsia="宋体" w:cs="宋体"/>
        </w:rPr>
        <w:t>目</w:t>
      </w:r>
      <w:r>
        <w:rPr>
          <w:rFonts w:hint="eastAsia" w:ascii="宋体" w:hAnsi="宋体" w:eastAsia="宋体" w:cs="宋体"/>
        </w:rPr>
        <w:tab/>
      </w:r>
      <w:r>
        <w:rPr>
          <w:rFonts w:hint="eastAsia" w:ascii="宋体" w:hAnsi="宋体" w:eastAsia="宋体" w:cs="宋体"/>
        </w:rPr>
        <w:t>录</w:t>
      </w:r>
      <w:bookmarkEnd w:id="1269"/>
      <w:bookmarkEnd w:id="1270"/>
      <w:bookmarkEnd w:id="1271"/>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11"/>
        <w:keepNext w:val="0"/>
        <w:keepLines w:val="0"/>
        <w:pageBreakBefore w:val="0"/>
        <w:widowControl w:val="0"/>
        <w:kinsoku/>
        <w:wordWrap/>
        <w:overflowPunct/>
        <w:topLinePunct w:val="0"/>
        <w:autoSpaceDE w:val="0"/>
        <w:autoSpaceDN w:val="0"/>
        <w:bidi w:val="0"/>
        <w:adjustRightInd/>
        <w:snapToGrid/>
        <w:spacing w:before="10"/>
        <w:textAlignment w:val="auto"/>
        <w:outlineLvl w:val="9"/>
        <w:rPr>
          <w:rFonts w:hint="eastAsia" w:ascii="宋体" w:hAnsi="宋体" w:eastAsia="宋体" w:cs="宋体"/>
          <w:b/>
          <w:sz w:val="17"/>
        </w:rPr>
      </w:pPr>
    </w:p>
    <w:p>
      <w:pPr>
        <w:keepNext w:val="0"/>
        <w:keepLines w:val="0"/>
        <w:widowControl w:val="0"/>
        <w:kinsoku/>
        <w:overflowPunct/>
        <w:bidi w:val="0"/>
        <w:adjustRightInd/>
        <w:snapToGrid/>
        <w:textAlignment w:val="auto"/>
        <w:outlineLvl w:val="9"/>
        <w:rPr>
          <w:rFonts w:hint="eastAsia" w:ascii="宋体" w:hAnsi="宋体" w:eastAsia="宋体" w:cs="宋体"/>
        </w:rPr>
      </w:pPr>
      <w:bookmarkStart w:id="1272" w:name="_Toc20409"/>
      <w:bookmarkStart w:id="1273" w:name="_Toc26011"/>
      <w:bookmarkStart w:id="1274" w:name="_Toc11832"/>
      <w:r>
        <w:rPr>
          <w:rFonts w:hint="eastAsia" w:ascii="宋体" w:hAnsi="宋体" w:eastAsia="宋体" w:cs="宋体"/>
        </w:rPr>
        <w:t>一、投标函及投标函附录</w:t>
      </w:r>
      <w:bookmarkEnd w:id="1272"/>
      <w:bookmarkEnd w:id="1273"/>
      <w:bookmarkEnd w:id="1274"/>
    </w:p>
    <w:p>
      <w:pPr>
        <w:keepNext w:val="0"/>
        <w:keepLines w:val="0"/>
        <w:widowControl w:val="0"/>
        <w:kinsoku/>
        <w:overflowPunct/>
        <w:bidi w:val="0"/>
        <w:adjustRightInd/>
        <w:snapToGrid/>
        <w:textAlignment w:val="auto"/>
        <w:outlineLvl w:val="9"/>
        <w:rPr>
          <w:rFonts w:hint="eastAsia" w:ascii="宋体" w:hAnsi="宋体" w:eastAsia="宋体" w:cs="宋体"/>
        </w:rPr>
      </w:pPr>
      <w:bookmarkStart w:id="1275" w:name="_Toc6190"/>
      <w:bookmarkStart w:id="1276" w:name="_Toc30775"/>
      <w:bookmarkStart w:id="1277" w:name="_Toc21655"/>
      <w:r>
        <w:rPr>
          <w:rFonts w:hint="eastAsia" w:ascii="宋体" w:hAnsi="宋体" w:eastAsia="宋体" w:cs="宋体"/>
          <w:lang w:val="en-US" w:eastAsia="zh-CN"/>
        </w:rPr>
        <w:t>二、</w:t>
      </w:r>
      <w:r>
        <w:rPr>
          <w:rFonts w:hint="eastAsia" w:ascii="宋体" w:hAnsi="宋体" w:eastAsia="宋体" w:cs="宋体"/>
        </w:rPr>
        <w:t>法定代表人身份证明及授权委托书</w:t>
      </w:r>
      <w:bookmarkEnd w:id="1275"/>
      <w:bookmarkEnd w:id="1276"/>
      <w:bookmarkEnd w:id="1277"/>
    </w:p>
    <w:p>
      <w:pPr>
        <w:keepNext w:val="0"/>
        <w:keepLines w:val="0"/>
        <w:widowControl w:val="0"/>
        <w:kinsoku/>
        <w:overflowPunct/>
        <w:bidi w:val="0"/>
        <w:adjustRightInd/>
        <w:snapToGrid/>
        <w:textAlignment w:val="auto"/>
        <w:outlineLvl w:val="9"/>
        <w:rPr>
          <w:rFonts w:hint="eastAsia" w:ascii="宋体" w:hAnsi="宋体" w:eastAsia="宋体" w:cs="宋体"/>
        </w:rPr>
      </w:pPr>
      <w:bookmarkStart w:id="1278" w:name="_Toc20503"/>
      <w:bookmarkStart w:id="1279" w:name="_Toc28225"/>
      <w:bookmarkStart w:id="1280" w:name="_Toc11159"/>
      <w:r>
        <w:rPr>
          <w:rFonts w:hint="eastAsia" w:ascii="宋体" w:hAnsi="宋体" w:eastAsia="宋体" w:cs="宋体"/>
        </w:rPr>
        <w:t>三、投标保证金</w:t>
      </w:r>
      <w:bookmarkEnd w:id="1278"/>
      <w:bookmarkEnd w:id="1279"/>
      <w:bookmarkEnd w:id="1280"/>
    </w:p>
    <w:p>
      <w:pPr>
        <w:keepNext w:val="0"/>
        <w:keepLines w:val="0"/>
        <w:widowControl w:val="0"/>
        <w:kinsoku/>
        <w:overflowPunct/>
        <w:bidi w:val="0"/>
        <w:adjustRightInd/>
        <w:snapToGrid/>
        <w:textAlignment w:val="auto"/>
        <w:outlineLvl w:val="9"/>
        <w:rPr>
          <w:rFonts w:hint="eastAsia" w:ascii="宋体" w:hAnsi="宋体" w:eastAsia="宋体" w:cs="宋体"/>
        </w:rPr>
      </w:pPr>
      <w:bookmarkStart w:id="1281" w:name="_Toc17044"/>
      <w:bookmarkStart w:id="1282" w:name="_Toc28977"/>
      <w:bookmarkStart w:id="1283" w:name="_Toc12847"/>
      <w:r>
        <w:rPr>
          <w:rFonts w:hint="eastAsia" w:ascii="宋体" w:hAnsi="宋体" w:eastAsia="宋体" w:cs="宋体"/>
        </w:rPr>
        <w:t>四、已标价工程量清单</w:t>
      </w:r>
      <w:bookmarkEnd w:id="1281"/>
    </w:p>
    <w:p>
      <w:pPr>
        <w:keepNext w:val="0"/>
        <w:keepLines w:val="0"/>
        <w:widowControl w:val="0"/>
        <w:kinsoku/>
        <w:overflowPunct/>
        <w:bidi w:val="0"/>
        <w:adjustRightInd/>
        <w:snapToGrid/>
        <w:textAlignment w:val="auto"/>
        <w:outlineLvl w:val="9"/>
        <w:rPr>
          <w:rFonts w:hint="eastAsia" w:ascii="宋体" w:hAnsi="宋体" w:eastAsia="宋体" w:cs="宋体"/>
        </w:rPr>
      </w:pPr>
      <w:bookmarkStart w:id="1284" w:name="_Toc15277"/>
      <w:r>
        <w:rPr>
          <w:rFonts w:hint="eastAsia" w:ascii="宋体" w:hAnsi="宋体" w:eastAsia="宋体" w:cs="宋体"/>
        </w:rPr>
        <w:t>五、施工组织设计</w:t>
      </w:r>
      <w:bookmarkEnd w:id="1282"/>
      <w:bookmarkEnd w:id="1283"/>
      <w:bookmarkEnd w:id="1284"/>
    </w:p>
    <w:p>
      <w:pPr>
        <w:keepNext w:val="0"/>
        <w:keepLines w:val="0"/>
        <w:widowControl w:val="0"/>
        <w:kinsoku/>
        <w:overflowPunct/>
        <w:bidi w:val="0"/>
        <w:adjustRightInd/>
        <w:snapToGrid/>
        <w:textAlignment w:val="auto"/>
        <w:outlineLvl w:val="9"/>
        <w:rPr>
          <w:rFonts w:hint="eastAsia" w:ascii="宋体" w:hAnsi="宋体" w:eastAsia="宋体" w:cs="宋体"/>
        </w:rPr>
      </w:pPr>
      <w:bookmarkStart w:id="1285" w:name="_Toc1492"/>
      <w:bookmarkStart w:id="1286" w:name="_Toc17487"/>
      <w:bookmarkStart w:id="1287" w:name="_Toc31515"/>
      <w:r>
        <w:rPr>
          <w:rFonts w:hint="eastAsia" w:ascii="宋体" w:hAnsi="宋体" w:eastAsia="宋体" w:cs="宋体"/>
        </w:rPr>
        <w:t>六、项目管理机构</w:t>
      </w:r>
      <w:bookmarkEnd w:id="1285"/>
      <w:bookmarkEnd w:id="1286"/>
      <w:bookmarkEnd w:id="1287"/>
    </w:p>
    <w:p>
      <w:pPr>
        <w:keepNext w:val="0"/>
        <w:keepLines w:val="0"/>
        <w:widowControl w:val="0"/>
        <w:kinsoku/>
        <w:overflowPunct/>
        <w:bidi w:val="0"/>
        <w:adjustRightInd/>
        <w:snapToGrid/>
        <w:textAlignment w:val="auto"/>
        <w:outlineLvl w:val="9"/>
        <w:rPr>
          <w:rFonts w:hint="eastAsia" w:ascii="宋体" w:hAnsi="宋体" w:eastAsia="宋体" w:cs="宋体"/>
        </w:rPr>
      </w:pPr>
      <w:bookmarkStart w:id="1288" w:name="_Toc10437"/>
      <w:bookmarkStart w:id="1289" w:name="_Toc551"/>
      <w:bookmarkStart w:id="1290" w:name="_Toc14993"/>
      <w:r>
        <w:rPr>
          <w:rFonts w:hint="eastAsia" w:ascii="宋体" w:hAnsi="宋体" w:eastAsia="宋体" w:cs="宋体"/>
        </w:rPr>
        <w:t>七、</w:t>
      </w:r>
      <w:bookmarkEnd w:id="1288"/>
      <w:bookmarkEnd w:id="1289"/>
      <w:bookmarkStart w:id="1291" w:name="_Toc10711"/>
      <w:bookmarkStart w:id="1292" w:name="_Toc18148"/>
      <w:r>
        <w:rPr>
          <w:rFonts w:hint="eastAsia" w:ascii="宋体" w:hAnsi="宋体" w:eastAsia="宋体" w:cs="宋体"/>
        </w:rPr>
        <w:t>资格审查资料</w:t>
      </w:r>
      <w:bookmarkEnd w:id="1290"/>
      <w:bookmarkEnd w:id="1291"/>
      <w:bookmarkEnd w:id="1292"/>
    </w:p>
    <w:p>
      <w:pPr>
        <w:keepNext w:val="0"/>
        <w:keepLines w:val="0"/>
        <w:widowControl w:val="0"/>
        <w:kinsoku/>
        <w:overflowPunct/>
        <w:bidi w:val="0"/>
        <w:adjustRightInd/>
        <w:snapToGrid/>
        <w:textAlignment w:val="auto"/>
        <w:outlineLvl w:val="9"/>
        <w:rPr>
          <w:rFonts w:hint="eastAsia" w:ascii="宋体" w:hAnsi="宋体" w:eastAsia="宋体" w:cs="宋体"/>
        </w:rPr>
      </w:pPr>
      <w:bookmarkStart w:id="1293" w:name="_Toc924"/>
      <w:bookmarkStart w:id="1294" w:name="_Toc4123"/>
      <w:bookmarkStart w:id="1295" w:name="_Toc23318"/>
      <w:r>
        <w:rPr>
          <w:rFonts w:hint="eastAsia" w:ascii="宋体" w:hAnsi="宋体" w:eastAsia="宋体" w:cs="宋体"/>
        </w:rPr>
        <w:t>八、其他材料</w:t>
      </w:r>
      <w:bookmarkEnd w:id="1293"/>
      <w:bookmarkEnd w:id="1294"/>
      <w:bookmarkEnd w:id="1295"/>
    </w:p>
    <w:p>
      <w:pPr>
        <w:keepNext w:val="0"/>
        <w:keepLines w:val="0"/>
        <w:widowControl w:val="0"/>
        <w:kinsoku/>
        <w:overflowPunct/>
        <w:bidi w:val="0"/>
        <w:adjustRightInd/>
        <w:snapToGrid/>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spacing w:before="7"/>
        <w:textAlignment w:val="auto"/>
        <w:outlineLvl w:val="9"/>
        <w:rPr>
          <w:rFonts w:hint="eastAsia" w:ascii="宋体" w:hAnsi="宋体" w:eastAsia="宋体" w:cs="宋体"/>
          <w:sz w:val="15"/>
        </w:rPr>
      </w:pPr>
    </w:p>
    <w:p>
      <w:pPr>
        <w:keepNext w:val="0"/>
        <w:keepLines w:val="0"/>
        <w:pageBreakBefore w:val="0"/>
        <w:widowControl w:val="0"/>
        <w:kinsoku/>
        <w:wordWrap/>
        <w:overflowPunct/>
        <w:topLinePunct w:val="0"/>
        <w:autoSpaceDE w:val="0"/>
        <w:autoSpaceDN w:val="0"/>
        <w:bidi w:val="0"/>
        <w:adjustRightInd/>
        <w:snapToGrid/>
        <w:spacing w:line="539" w:lineRule="exact"/>
        <w:ind w:left="399" w:right="418"/>
        <w:jc w:val="center"/>
        <w:textAlignment w:val="auto"/>
        <w:outlineLvl w:val="9"/>
        <w:rPr>
          <w:rFonts w:hint="eastAsia" w:ascii="宋体" w:hAnsi="宋体" w:eastAsia="宋体" w:cs="宋体"/>
        </w:rPr>
      </w:pPr>
      <w:bookmarkStart w:id="1296" w:name="_bookmark13"/>
      <w:bookmarkEnd w:id="1296"/>
      <w:bookmarkStart w:id="1297" w:name="_Toc27692"/>
      <w:bookmarkStart w:id="1298" w:name="_Toc9570"/>
      <w:bookmarkStart w:id="1299" w:name="_Toc20300"/>
      <w:r>
        <w:rPr>
          <w:rFonts w:hint="eastAsia" w:ascii="宋体" w:hAnsi="宋体" w:eastAsia="宋体" w:cs="宋体"/>
        </w:rPr>
        <w:t>一、投标函及投标函附录</w:t>
      </w:r>
      <w:bookmarkEnd w:id="1297"/>
      <w:bookmarkEnd w:id="1298"/>
      <w:bookmarkEnd w:id="1299"/>
    </w:p>
    <w:p>
      <w:pPr>
        <w:pStyle w:val="11"/>
        <w:keepNext w:val="0"/>
        <w:keepLines w:val="0"/>
        <w:pageBreakBefore w:val="0"/>
        <w:widowControl w:val="0"/>
        <w:kinsoku/>
        <w:wordWrap/>
        <w:overflowPunct/>
        <w:topLinePunct w:val="0"/>
        <w:autoSpaceDE w:val="0"/>
        <w:autoSpaceDN w:val="0"/>
        <w:bidi w:val="0"/>
        <w:adjustRightInd/>
        <w:snapToGrid/>
        <w:spacing w:before="11"/>
        <w:textAlignment w:val="auto"/>
        <w:outlineLvl w:val="9"/>
        <w:rPr>
          <w:rFonts w:hint="eastAsia" w:ascii="宋体" w:hAnsi="宋体" w:eastAsia="宋体" w:cs="宋体"/>
          <w:b/>
          <w:sz w:val="22"/>
        </w:rPr>
      </w:pPr>
    </w:p>
    <w:p>
      <w:pPr>
        <w:keepNext w:val="0"/>
        <w:keepLines w:val="0"/>
        <w:pageBreakBefore w:val="0"/>
        <w:widowControl w:val="0"/>
        <w:kinsoku/>
        <w:wordWrap/>
        <w:overflowPunct/>
        <w:topLinePunct w:val="0"/>
        <w:autoSpaceDE w:val="0"/>
        <w:autoSpaceDN w:val="0"/>
        <w:bidi w:val="0"/>
        <w:adjustRightInd/>
        <w:snapToGrid/>
        <w:spacing w:line="240" w:lineRule="auto"/>
        <w:ind w:left="399" w:right="418"/>
        <w:jc w:val="center"/>
        <w:textAlignment w:val="auto"/>
        <w:outlineLvl w:val="9"/>
        <w:rPr>
          <w:rFonts w:hint="eastAsia" w:ascii="宋体" w:hAnsi="宋体" w:eastAsia="宋体" w:cs="宋体"/>
        </w:rPr>
      </w:pPr>
      <w:bookmarkStart w:id="1300" w:name="_Toc20849"/>
      <w:r>
        <w:rPr>
          <w:rFonts w:hint="eastAsia" w:ascii="宋体" w:hAnsi="宋体" w:eastAsia="宋体" w:cs="宋体"/>
        </w:rPr>
        <w:t>（一）投标函</w:t>
      </w:r>
      <w:bookmarkEnd w:id="1300"/>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（招标人名称）：</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宋体" w:hAnsi="宋体" w:eastAsia="宋体" w:cs="宋体"/>
        </w:rPr>
      </w:pP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1．我方已仔细研究了 （项目名称）施工招标文件的全部内容，愿意以人民币</w:t>
      </w:r>
      <w:r>
        <w:rPr>
          <w:rFonts w:hint="eastAsia" w:cs="宋体"/>
          <w:u w:val="single"/>
          <w:lang w:val="en-US" w:eastAsia="zh-CN"/>
        </w:rPr>
        <w:t xml:space="preserve">   </w:t>
      </w:r>
      <w:r>
        <w:rPr>
          <w:rFonts w:hint="eastAsia" w:ascii="宋体" w:hAnsi="宋体" w:eastAsia="宋体" w:cs="宋体"/>
        </w:rPr>
        <w:t>（小写</w:t>
      </w:r>
      <w:r>
        <w:rPr>
          <w:rFonts w:hint="eastAsia" w:cs="宋体"/>
          <w:u w:val="single"/>
          <w:lang w:val="en-US" w:eastAsia="zh-CN"/>
        </w:rPr>
        <w:t xml:space="preserve">   </w:t>
      </w:r>
      <w:r>
        <w:rPr>
          <w:rFonts w:hint="eastAsia" w:ascii="宋体" w:hAnsi="宋体" w:eastAsia="宋体" w:cs="宋体"/>
        </w:rPr>
        <w:t>）</w:t>
      </w:r>
      <w:r>
        <w:rPr>
          <w:rFonts w:hint="eastAsia" w:cs="宋体"/>
          <w:lang w:val="en-US" w:eastAsia="zh-CN"/>
        </w:rPr>
        <w:t>元</w:t>
      </w:r>
      <w:r>
        <w:rPr>
          <w:rFonts w:hint="eastAsia" w:ascii="宋体" w:hAnsi="宋体" w:eastAsia="宋体" w:cs="宋体"/>
        </w:rPr>
        <w:t>的投标总价，工期</w:t>
      </w:r>
      <w:r>
        <w:rPr>
          <w:rFonts w:hint="eastAsia" w:cs="宋体"/>
          <w:u w:val="single"/>
          <w:lang w:val="en-US" w:eastAsia="zh-CN"/>
        </w:rPr>
        <w:t xml:space="preserve">    </w:t>
      </w:r>
      <w:r>
        <w:rPr>
          <w:rFonts w:hint="eastAsia" w:ascii="宋体" w:hAnsi="宋体" w:eastAsia="宋体" w:cs="宋体"/>
        </w:rPr>
        <w:t>日历天，项目负责人：</w:t>
      </w:r>
      <w:r>
        <w:rPr>
          <w:rFonts w:hint="eastAsia" w:cs="宋体"/>
          <w:u w:val="single"/>
          <w:lang w:val="en-US" w:eastAsia="zh-CN"/>
        </w:rPr>
        <w:t xml:space="preserve">    </w:t>
      </w:r>
      <w:r>
        <w:rPr>
          <w:rFonts w:hint="eastAsia" w:ascii="宋体" w:hAnsi="宋体" w:eastAsia="宋体" w:cs="宋体"/>
        </w:rPr>
        <w:t>，按合同约定实施和完成承包工程，修补工程中的任何缺陷，工程质量达到</w:t>
      </w:r>
      <w:r>
        <w:rPr>
          <w:rFonts w:hint="eastAsia" w:cs="宋体"/>
          <w:u w:val="single"/>
          <w:lang w:val="en-US" w:eastAsia="zh-CN"/>
        </w:rPr>
        <w:t xml:space="preserve">     </w:t>
      </w:r>
      <w:r>
        <w:rPr>
          <w:rFonts w:hint="eastAsia" w:ascii="宋体" w:hAnsi="宋体" w:eastAsia="宋体" w:cs="宋体"/>
        </w:rPr>
        <w:t xml:space="preserve"> 。</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2．我方同意本投标函在招标文件规定的提交投标文件截止时间后，在招标文件规定的投标有效期（</w:t>
      </w:r>
      <w:r>
        <w:rPr>
          <w:rFonts w:hint="eastAsia" w:cs="宋体"/>
          <w:u w:val="single"/>
          <w:lang w:val="en-US" w:eastAsia="zh-CN"/>
        </w:rPr>
        <w:t xml:space="preserve">      </w:t>
      </w:r>
      <w:r>
        <w:rPr>
          <w:rFonts w:hint="eastAsia" w:ascii="宋体" w:hAnsi="宋体" w:eastAsia="宋体" w:cs="宋体"/>
        </w:rPr>
        <w:t>日历天）期满前对我方具有约束力，且随时准备接受你方发出的中标通知书。</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3．随同本投标函提交投标保证金一份，金额为人民币（大写） 。</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4．如我方中标：</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（1）我方承诺在收到中标通知书后，在中标通知书规定的期限内与你方签订合同。</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（2）随同本投标函递交的投标函附录属于合同文件的组成部分。</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（3）我方承诺按照招标文件规定向你方递交履约担保。</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（4）我方承诺在合同约定的期限内完成并移交全部合同工程。</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(5 )我方承诺在领取中标通知书前按招标文件规定向代理机构缴纳招标代理服务费。</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5．我方在此声明，所递交的投标文件及有关资料内容完整、真实和准确，且不存在第二章“投标人须知”第 1.4.2 项和第 1.4.3 项规定的任何一种情形。</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投 标 人： （电子签章）</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法定代表人： （电子签章）</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地址：</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pPr>
      <w:r>
        <w:rPr>
          <w:rFonts w:hint="eastAsia" w:ascii="宋体" w:hAnsi="宋体" w:eastAsia="宋体" w:cs="宋体"/>
        </w:rPr>
        <w:t>电话：</w:t>
      </w:r>
    </w:p>
    <w:p>
      <w:pPr>
        <w:keepNext w:val="0"/>
        <w:keepLines w:val="0"/>
        <w:pageBreakBefore w:val="0"/>
        <w:widowControl w:val="0"/>
        <w:kinsoku/>
        <w:wordWrap w:val="0"/>
        <w:overflowPunct/>
        <w:topLinePunct/>
        <w:autoSpaceDE/>
        <w:autoSpaceDN/>
        <w:bidi w:val="0"/>
        <w:adjustRightInd/>
        <w:snapToGrid/>
        <w:spacing w:line="360" w:lineRule="auto"/>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r>
        <w:rPr>
          <w:rFonts w:hint="eastAsia" w:ascii="宋体" w:hAnsi="宋体" w:eastAsia="宋体" w:cs="宋体"/>
        </w:rPr>
        <w:t>年 月 日</w:t>
      </w:r>
    </w:p>
    <w:p>
      <w:pPr>
        <w:keepNext w:val="0"/>
        <w:keepLines w:val="0"/>
        <w:pageBreakBefore w:val="0"/>
        <w:widowControl w:val="0"/>
        <w:kinsoku/>
        <w:wordWrap/>
        <w:overflowPunct/>
        <w:topLinePunct w:val="0"/>
        <w:autoSpaceDE w:val="0"/>
        <w:autoSpaceDN w:val="0"/>
        <w:bidi w:val="0"/>
        <w:adjustRightInd/>
        <w:snapToGrid/>
        <w:ind w:left="399" w:right="418"/>
        <w:jc w:val="center"/>
        <w:textAlignment w:val="auto"/>
        <w:outlineLvl w:val="9"/>
        <w:rPr>
          <w:rFonts w:hint="eastAsia" w:ascii="宋体" w:hAnsi="宋体" w:eastAsia="宋体" w:cs="宋体"/>
        </w:rPr>
      </w:pPr>
      <w:bookmarkStart w:id="1301" w:name="_Toc2772"/>
      <w:r>
        <w:rPr>
          <w:rFonts w:hint="eastAsia" w:ascii="宋体" w:hAnsi="宋体" w:eastAsia="宋体" w:cs="宋体"/>
        </w:rPr>
        <w:t>（二）投标函附录</w:t>
      </w:r>
      <w:bookmarkEnd w:id="1301"/>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bl>
      <w:tblPr>
        <w:tblStyle w:val="19"/>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887"/>
        <w:gridCol w:w="1971"/>
        <w:gridCol w:w="1971"/>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94"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 xml:space="preserve">序号  </w:t>
            </w:r>
          </w:p>
        </w:tc>
        <w:tc>
          <w:tcPr>
            <w:tcW w:w="1887"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项目名称</w:t>
            </w:r>
          </w:p>
        </w:tc>
        <w:tc>
          <w:tcPr>
            <w:tcW w:w="5917" w:type="dxa"/>
            <w:gridSpan w:val="3"/>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94"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lang w:val="en-US" w:eastAsia="zh-CN"/>
              </w:rPr>
            </w:pPr>
            <w:r>
              <w:rPr>
                <w:rFonts w:hint="eastAsia" w:cs="宋体"/>
                <w:sz w:val="22"/>
                <w:vertAlign w:val="baseline"/>
                <w:lang w:val="en-US" w:eastAsia="zh-CN"/>
              </w:rPr>
              <w:t>1</w:t>
            </w:r>
          </w:p>
        </w:tc>
        <w:tc>
          <w:tcPr>
            <w:tcW w:w="1887"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投标报价</w:t>
            </w:r>
          </w:p>
        </w:tc>
        <w:tc>
          <w:tcPr>
            <w:tcW w:w="5917" w:type="dxa"/>
            <w:gridSpan w:val="3"/>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（大写）：</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94"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lang w:val="en-US" w:eastAsia="zh-CN"/>
              </w:rPr>
            </w:pPr>
            <w:r>
              <w:rPr>
                <w:rFonts w:hint="eastAsia" w:cs="宋体"/>
                <w:sz w:val="22"/>
                <w:vertAlign w:val="baseline"/>
                <w:lang w:val="en-US" w:eastAsia="zh-CN"/>
              </w:rPr>
              <w:t>2</w:t>
            </w:r>
          </w:p>
        </w:tc>
        <w:tc>
          <w:tcPr>
            <w:tcW w:w="1887"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投标范围</w:t>
            </w:r>
          </w:p>
        </w:tc>
        <w:tc>
          <w:tcPr>
            <w:tcW w:w="5917" w:type="dxa"/>
            <w:gridSpan w:val="3"/>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994"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lang w:val="en-US" w:eastAsia="zh-CN"/>
              </w:rPr>
            </w:pPr>
            <w:r>
              <w:rPr>
                <w:rFonts w:hint="eastAsia" w:cs="宋体"/>
                <w:sz w:val="22"/>
                <w:vertAlign w:val="baseline"/>
                <w:lang w:val="en-US" w:eastAsia="zh-CN"/>
              </w:rPr>
              <w:t>3</w:t>
            </w:r>
          </w:p>
        </w:tc>
        <w:tc>
          <w:tcPr>
            <w:tcW w:w="1887"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投标有效期</w:t>
            </w:r>
          </w:p>
        </w:tc>
        <w:tc>
          <w:tcPr>
            <w:tcW w:w="5917" w:type="dxa"/>
            <w:gridSpan w:val="3"/>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994"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default" w:cs="宋体"/>
                <w:sz w:val="22"/>
                <w:vertAlign w:val="baseline"/>
                <w:lang w:val="en-US" w:eastAsia="zh-CN"/>
              </w:rPr>
            </w:pPr>
            <w:r>
              <w:rPr>
                <w:rFonts w:hint="eastAsia" w:cs="宋体"/>
                <w:sz w:val="22"/>
                <w:vertAlign w:val="baseline"/>
                <w:lang w:val="en-US" w:eastAsia="zh-CN"/>
              </w:rPr>
              <w:t>4</w:t>
            </w:r>
          </w:p>
        </w:tc>
        <w:tc>
          <w:tcPr>
            <w:tcW w:w="1887"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 xml:space="preserve">投报施工工期 </w:t>
            </w:r>
          </w:p>
        </w:tc>
        <w:tc>
          <w:tcPr>
            <w:tcW w:w="5917" w:type="dxa"/>
            <w:gridSpan w:val="3"/>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994"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default" w:cs="宋体"/>
                <w:sz w:val="22"/>
                <w:vertAlign w:val="baseline"/>
                <w:lang w:val="en-US" w:eastAsia="zh-CN"/>
              </w:rPr>
            </w:pPr>
            <w:r>
              <w:rPr>
                <w:rFonts w:hint="eastAsia" w:cs="宋体"/>
                <w:sz w:val="22"/>
                <w:vertAlign w:val="baseline"/>
                <w:lang w:val="en-US" w:eastAsia="zh-CN"/>
              </w:rPr>
              <w:t>5</w:t>
            </w:r>
          </w:p>
        </w:tc>
        <w:tc>
          <w:tcPr>
            <w:tcW w:w="1887"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投报工程质量</w:t>
            </w:r>
          </w:p>
        </w:tc>
        <w:tc>
          <w:tcPr>
            <w:tcW w:w="5917" w:type="dxa"/>
            <w:gridSpan w:val="3"/>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94" w:type="dxa"/>
            <w:vMerge w:val="restart"/>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default" w:cs="宋体"/>
                <w:sz w:val="22"/>
                <w:vertAlign w:val="baseline"/>
                <w:lang w:val="en-US" w:eastAsia="zh-CN"/>
              </w:rPr>
            </w:pPr>
            <w:r>
              <w:rPr>
                <w:rFonts w:hint="eastAsia" w:cs="宋体"/>
                <w:sz w:val="22"/>
                <w:vertAlign w:val="baseline"/>
                <w:lang w:val="en-US" w:eastAsia="zh-CN"/>
              </w:rPr>
              <w:t>6</w:t>
            </w:r>
          </w:p>
        </w:tc>
        <w:tc>
          <w:tcPr>
            <w:tcW w:w="1887" w:type="dxa"/>
            <w:vMerge w:val="restart"/>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项目负责人</w:t>
            </w:r>
          </w:p>
        </w:tc>
        <w:tc>
          <w:tcPr>
            <w:tcW w:w="1971"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 xml:space="preserve">姓 名 </w:t>
            </w:r>
          </w:p>
        </w:tc>
        <w:tc>
          <w:tcPr>
            <w:tcW w:w="1971"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级别</w:t>
            </w:r>
          </w:p>
        </w:tc>
        <w:tc>
          <w:tcPr>
            <w:tcW w:w="1975"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vertAlign w:val="baseline"/>
              </w:rPr>
            </w:pPr>
            <w:r>
              <w:rPr>
                <w:rFonts w:hint="eastAsia" w:ascii="宋体" w:hAnsi="宋体" w:eastAsia="宋体" w:cs="宋体"/>
                <w:sz w:val="22"/>
                <w:vertAlign w:val="baseline"/>
              </w:rPr>
              <w:t xml:space="preserve">   证号编号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94" w:type="dxa"/>
            <w:vMerge w:val="continue"/>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pPr>
          </w:p>
        </w:tc>
        <w:tc>
          <w:tcPr>
            <w:tcW w:w="1887" w:type="dxa"/>
            <w:vMerge w:val="continue"/>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pPr>
          </w:p>
        </w:tc>
        <w:tc>
          <w:tcPr>
            <w:tcW w:w="1971"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pPr>
          </w:p>
        </w:tc>
        <w:tc>
          <w:tcPr>
            <w:tcW w:w="1971"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pPr>
          </w:p>
        </w:tc>
        <w:tc>
          <w:tcPr>
            <w:tcW w:w="1975" w:type="dxa"/>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798" w:type="dxa"/>
            <w:gridSpan w:val="5"/>
            <w:vAlign w:val="center"/>
          </w:tcPr>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zh-CN"/>
              </w:rPr>
            </w:pPr>
            <w:r>
              <w:rPr>
                <w:rFonts w:hint="eastAsia"/>
                <w:lang w:val="en-US" w:eastAsia="zh-CN"/>
              </w:rPr>
              <w:t>声明：</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default"/>
                <w:lang w:val="en-US" w:eastAsia="zh-CN"/>
              </w:rPr>
            </w:pPr>
            <w:r>
              <w:rPr>
                <w:rFonts w:hint="eastAsia"/>
                <w:lang w:val="en-US" w:eastAsia="zh-CN"/>
              </w:rPr>
              <w:t>我单位完全响应招标文件要求，符合中华人民共和国政府采购法二十二条规定，特此声明！</w:t>
            </w:r>
          </w:p>
        </w:tc>
      </w:tr>
    </w:tbl>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spacing w:line="480" w:lineRule="auto"/>
        <w:textAlignment w:val="auto"/>
        <w:outlineLvl w:val="9"/>
        <w:rPr>
          <w:rFonts w:hint="eastAsia" w:ascii="宋体" w:hAnsi="宋体" w:eastAsia="宋体" w:cs="宋体"/>
          <w:sz w:val="22"/>
        </w:rPr>
      </w:pPr>
      <w:r>
        <w:rPr>
          <w:rFonts w:hint="eastAsia" w:ascii="宋体" w:hAnsi="宋体" w:eastAsia="宋体" w:cs="宋体"/>
          <w:sz w:val="22"/>
        </w:rPr>
        <w:t>投标人：（电子签章）</w:t>
      </w:r>
    </w:p>
    <w:p>
      <w:pPr>
        <w:pStyle w:val="11"/>
        <w:keepNext w:val="0"/>
        <w:keepLines w:val="0"/>
        <w:pageBreakBefore w:val="0"/>
        <w:widowControl w:val="0"/>
        <w:kinsoku/>
        <w:wordWrap/>
        <w:overflowPunct/>
        <w:topLinePunct w:val="0"/>
        <w:autoSpaceDE w:val="0"/>
        <w:autoSpaceDN w:val="0"/>
        <w:bidi w:val="0"/>
        <w:adjustRightInd/>
        <w:snapToGrid/>
        <w:spacing w:line="480" w:lineRule="auto"/>
        <w:textAlignment w:val="auto"/>
        <w:outlineLvl w:val="9"/>
        <w:rPr>
          <w:rFonts w:hint="eastAsia" w:ascii="宋体" w:hAnsi="宋体" w:eastAsia="宋体" w:cs="宋体"/>
          <w:sz w:val="22"/>
        </w:rPr>
      </w:pPr>
      <w:r>
        <w:rPr>
          <w:rFonts w:hint="eastAsia" w:ascii="宋体" w:hAnsi="宋体" w:eastAsia="宋体" w:cs="宋体"/>
          <w:sz w:val="22"/>
        </w:rPr>
        <w:t>法定代表人：（电子签章）</w:t>
      </w:r>
    </w:p>
    <w:p>
      <w:pPr>
        <w:pStyle w:val="11"/>
        <w:keepNext w:val="0"/>
        <w:keepLines w:val="0"/>
        <w:pageBreakBefore w:val="0"/>
        <w:widowControl w:val="0"/>
        <w:kinsoku/>
        <w:wordWrap/>
        <w:overflowPunct/>
        <w:topLinePunct w:val="0"/>
        <w:autoSpaceDE w:val="0"/>
        <w:autoSpaceDN w:val="0"/>
        <w:bidi w:val="0"/>
        <w:adjustRightInd/>
        <w:snapToGrid/>
        <w:spacing w:line="480" w:lineRule="auto"/>
        <w:textAlignment w:val="auto"/>
        <w:outlineLvl w:val="9"/>
        <w:rPr>
          <w:rFonts w:hint="eastAsia" w:ascii="宋体" w:hAnsi="宋体" w:eastAsia="宋体" w:cs="宋体"/>
          <w:sz w:val="22"/>
        </w:rPr>
      </w:pPr>
      <w:r>
        <w:rPr>
          <w:rFonts w:hint="eastAsia" w:ascii="宋体" w:hAnsi="宋体" w:eastAsia="宋体" w:cs="宋体"/>
          <w:sz w:val="22"/>
        </w:rPr>
        <w:t>日 期: 年 月 日</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p>
      <w:pPr>
        <w:pStyle w:val="11"/>
        <w:keepNext w:val="0"/>
        <w:keepLines w:val="0"/>
        <w:pageBreakBefore w:val="0"/>
        <w:widowControl w:val="0"/>
        <w:kinsoku/>
        <w:wordWrap/>
        <w:overflowPunct/>
        <w:topLinePunct w:val="0"/>
        <w:autoSpaceDE w:val="0"/>
        <w:autoSpaceDN w:val="0"/>
        <w:bidi w:val="0"/>
        <w:adjustRightInd/>
        <w:snapToGrid/>
        <w:spacing w:before="16"/>
        <w:textAlignment w:val="auto"/>
        <w:outlineLvl w:val="9"/>
        <w:rPr>
          <w:rFonts w:hint="eastAsia" w:ascii="宋体" w:hAnsi="宋体" w:eastAsia="宋体" w:cs="宋体"/>
          <w:b/>
          <w:sz w:val="10"/>
        </w:rPr>
      </w:pPr>
    </w:p>
    <w:p>
      <w:pPr>
        <w:keepNext w:val="0"/>
        <w:keepLines w:val="0"/>
        <w:pageBreakBefore w:val="0"/>
        <w:widowControl w:val="0"/>
        <w:kinsoku/>
        <w:wordWrap/>
        <w:overflowPunct/>
        <w:topLinePunct w:val="0"/>
        <w:autoSpaceDE w:val="0"/>
        <w:autoSpaceDN w:val="0"/>
        <w:bidi w:val="0"/>
        <w:adjustRightInd/>
        <w:snapToGrid/>
        <w:spacing w:line="538" w:lineRule="exact"/>
        <w:ind w:left="399" w:right="418"/>
        <w:jc w:val="center"/>
        <w:textAlignment w:val="auto"/>
        <w:outlineLvl w:val="9"/>
        <w:rPr>
          <w:rFonts w:hint="eastAsia" w:ascii="宋体" w:hAnsi="宋体" w:eastAsia="宋体" w:cs="宋体"/>
        </w:rPr>
      </w:pPr>
      <w:bookmarkStart w:id="1302" w:name="_bookmark14"/>
      <w:bookmarkEnd w:id="1302"/>
      <w:bookmarkStart w:id="1303" w:name="_Toc14495"/>
      <w:bookmarkStart w:id="1304" w:name="_Toc131"/>
      <w:bookmarkStart w:id="1305" w:name="_Toc3974"/>
      <w:r>
        <w:rPr>
          <w:rFonts w:hint="eastAsia" w:ascii="宋体" w:hAnsi="宋体" w:eastAsia="宋体" w:cs="宋体"/>
        </w:rPr>
        <w:t>二、法定代表人身份证明及授权委托书</w:t>
      </w:r>
      <w:bookmarkEnd w:id="1303"/>
      <w:bookmarkEnd w:id="1304"/>
      <w:bookmarkEnd w:id="1305"/>
    </w:p>
    <w:p>
      <w:pPr>
        <w:keepNext w:val="0"/>
        <w:keepLines w:val="0"/>
        <w:pageBreakBefore w:val="0"/>
        <w:widowControl w:val="0"/>
        <w:kinsoku/>
        <w:wordWrap/>
        <w:overflowPunct/>
        <w:topLinePunct w:val="0"/>
        <w:autoSpaceDE w:val="0"/>
        <w:autoSpaceDN w:val="0"/>
        <w:bidi w:val="0"/>
        <w:adjustRightInd/>
        <w:snapToGrid/>
        <w:spacing w:after="0" w:line="538" w:lineRule="exact"/>
        <w:jc w:val="center"/>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spacing w:before="94"/>
        <w:ind w:left="399" w:right="418"/>
        <w:jc w:val="center"/>
        <w:textAlignment w:val="auto"/>
        <w:outlineLvl w:val="9"/>
        <w:rPr>
          <w:rFonts w:hint="eastAsia" w:ascii="宋体" w:hAnsi="宋体" w:eastAsia="宋体" w:cs="宋体"/>
        </w:rPr>
      </w:pPr>
      <w:bookmarkStart w:id="1306" w:name="_Toc5380"/>
      <w:bookmarkStart w:id="1307" w:name="_Toc3395"/>
      <w:bookmarkStart w:id="1308" w:name="_Toc5213"/>
      <w:r>
        <w:rPr>
          <w:rFonts w:hint="eastAsia" w:ascii="宋体" w:hAnsi="宋体" w:eastAsia="宋体" w:cs="宋体"/>
        </w:rPr>
        <w:t>法定代表人身份证明</w:t>
      </w:r>
      <w:bookmarkEnd w:id="1306"/>
      <w:bookmarkEnd w:id="1307"/>
      <w:bookmarkEnd w:id="1308"/>
    </w:p>
    <w:p>
      <w:pPr>
        <w:pStyle w:val="11"/>
        <w:keepNext w:val="0"/>
        <w:keepLines w:val="0"/>
        <w:pageBreakBefore w:val="0"/>
        <w:widowControl w:val="0"/>
        <w:tabs>
          <w:tab w:val="left" w:pos="7998"/>
        </w:tabs>
        <w:kinsoku/>
        <w:wordWrap/>
        <w:overflowPunct/>
        <w:topLinePunct w:val="0"/>
        <w:autoSpaceDE w:val="0"/>
        <w:autoSpaceDN w:val="0"/>
        <w:bidi w:val="0"/>
        <w:adjustRightInd/>
        <w:snapToGrid/>
        <w:spacing w:before="207"/>
        <w:ind w:left="1021"/>
        <w:textAlignment w:val="auto"/>
        <w:outlineLvl w:val="9"/>
        <w:rPr>
          <w:rFonts w:hint="eastAsia" w:ascii="宋体" w:hAnsi="宋体" w:eastAsia="宋体" w:cs="宋体"/>
        </w:rPr>
      </w:pPr>
      <w:r>
        <w:rPr>
          <w:rFonts w:hint="eastAsia" w:ascii="宋体" w:hAnsi="宋体" w:eastAsia="宋体" w:cs="宋体"/>
        </w:rPr>
        <w:t>投 标 人：</w:t>
      </w:r>
      <w:r>
        <w:rPr>
          <w:rFonts w:hint="eastAsia" w:ascii="宋体" w:hAnsi="宋体" w:eastAsia="宋体" w:cs="宋体"/>
          <w:u w:val="single"/>
        </w:rPr>
        <w:t xml:space="preserve"> </w:t>
      </w:r>
      <w:r>
        <w:rPr>
          <w:rFonts w:hint="eastAsia" w:ascii="宋体" w:hAnsi="宋体" w:eastAsia="宋体" w:cs="宋体"/>
          <w:u w:val="single"/>
        </w:rPr>
        <w:tab/>
      </w:r>
    </w:p>
    <w:p>
      <w:pPr>
        <w:pStyle w:val="11"/>
        <w:keepNext w:val="0"/>
        <w:keepLines w:val="0"/>
        <w:pageBreakBefore w:val="0"/>
        <w:widowControl w:val="0"/>
        <w:kinsoku/>
        <w:wordWrap/>
        <w:overflowPunct/>
        <w:topLinePunct w:val="0"/>
        <w:autoSpaceDE w:val="0"/>
        <w:autoSpaceDN w:val="0"/>
        <w:bidi w:val="0"/>
        <w:adjustRightInd/>
        <w:snapToGrid/>
        <w:spacing w:before="4"/>
        <w:textAlignment w:val="auto"/>
        <w:outlineLvl w:val="9"/>
        <w:rPr>
          <w:rFonts w:hint="eastAsia" w:ascii="宋体" w:hAnsi="宋体" w:eastAsia="宋体" w:cs="宋体"/>
          <w:sz w:val="13"/>
        </w:rPr>
      </w:pPr>
    </w:p>
    <w:p>
      <w:pPr>
        <w:pStyle w:val="11"/>
        <w:keepNext w:val="0"/>
        <w:keepLines w:val="0"/>
        <w:pageBreakBefore w:val="0"/>
        <w:widowControl w:val="0"/>
        <w:tabs>
          <w:tab w:val="left" w:pos="7998"/>
        </w:tabs>
        <w:kinsoku/>
        <w:wordWrap/>
        <w:overflowPunct/>
        <w:topLinePunct w:val="0"/>
        <w:autoSpaceDE w:val="0"/>
        <w:autoSpaceDN w:val="0"/>
        <w:bidi w:val="0"/>
        <w:adjustRightInd/>
        <w:snapToGrid/>
        <w:spacing w:before="77"/>
        <w:ind w:left="1021"/>
        <w:textAlignment w:val="auto"/>
        <w:outlineLvl w:val="9"/>
        <w:rPr>
          <w:rFonts w:hint="eastAsia" w:ascii="宋体" w:hAnsi="宋体" w:eastAsia="宋体" w:cs="宋体"/>
        </w:rPr>
      </w:pPr>
      <w:r>
        <w:rPr>
          <w:rFonts w:hint="eastAsia" w:ascii="宋体" w:hAnsi="宋体" w:eastAsia="宋体" w:cs="宋体"/>
        </w:rPr>
        <w:t>单位性质：</w:t>
      </w:r>
      <w:r>
        <w:rPr>
          <w:rFonts w:hint="eastAsia" w:ascii="宋体" w:hAnsi="宋体" w:eastAsia="宋体" w:cs="宋体"/>
          <w:u w:val="single"/>
        </w:rPr>
        <w:t xml:space="preserve"> </w:t>
      </w:r>
      <w:r>
        <w:rPr>
          <w:rFonts w:hint="eastAsia" w:ascii="宋体" w:hAnsi="宋体" w:eastAsia="宋体" w:cs="宋体"/>
          <w:u w:val="single"/>
        </w:rPr>
        <w:tab/>
      </w:r>
    </w:p>
    <w:p>
      <w:pPr>
        <w:pStyle w:val="11"/>
        <w:keepNext w:val="0"/>
        <w:keepLines w:val="0"/>
        <w:pageBreakBefore w:val="0"/>
        <w:widowControl w:val="0"/>
        <w:kinsoku/>
        <w:wordWrap/>
        <w:overflowPunct/>
        <w:topLinePunct w:val="0"/>
        <w:autoSpaceDE w:val="0"/>
        <w:autoSpaceDN w:val="0"/>
        <w:bidi w:val="0"/>
        <w:adjustRightInd/>
        <w:snapToGrid/>
        <w:spacing w:before="5"/>
        <w:textAlignment w:val="auto"/>
        <w:outlineLvl w:val="9"/>
        <w:rPr>
          <w:rFonts w:hint="eastAsia" w:ascii="宋体" w:hAnsi="宋体" w:eastAsia="宋体" w:cs="宋体"/>
          <w:sz w:val="13"/>
        </w:rPr>
      </w:pPr>
    </w:p>
    <w:p>
      <w:pPr>
        <w:pStyle w:val="11"/>
        <w:keepNext w:val="0"/>
        <w:keepLines w:val="0"/>
        <w:pageBreakBefore w:val="0"/>
        <w:widowControl w:val="0"/>
        <w:tabs>
          <w:tab w:val="left" w:pos="1650"/>
          <w:tab w:val="left" w:pos="7998"/>
        </w:tabs>
        <w:kinsoku/>
        <w:wordWrap/>
        <w:overflowPunct/>
        <w:topLinePunct w:val="0"/>
        <w:autoSpaceDE w:val="0"/>
        <w:autoSpaceDN w:val="0"/>
        <w:bidi w:val="0"/>
        <w:adjustRightInd/>
        <w:snapToGrid/>
        <w:spacing w:before="77"/>
        <w:ind w:left="1021"/>
        <w:textAlignment w:val="auto"/>
        <w:outlineLvl w:val="9"/>
        <w:rPr>
          <w:rFonts w:hint="eastAsia" w:ascii="宋体" w:hAnsi="宋体" w:eastAsia="宋体" w:cs="宋体"/>
        </w:rPr>
      </w:pPr>
      <w:r>
        <w:rPr>
          <w:rFonts w:hint="eastAsia" w:ascii="宋体" w:hAnsi="宋体" w:eastAsia="宋体" w:cs="宋体"/>
        </w:rPr>
        <w:t>地</w:t>
      </w:r>
      <w:r>
        <w:rPr>
          <w:rFonts w:hint="eastAsia" w:ascii="宋体" w:hAnsi="宋体" w:eastAsia="宋体" w:cs="宋体"/>
        </w:rPr>
        <w:tab/>
      </w:r>
      <w:r>
        <w:rPr>
          <w:rFonts w:hint="eastAsia" w:ascii="宋体" w:hAnsi="宋体" w:eastAsia="宋体" w:cs="宋体"/>
        </w:rPr>
        <w:t>址：</w:t>
      </w:r>
      <w:r>
        <w:rPr>
          <w:rFonts w:hint="eastAsia" w:ascii="宋体" w:hAnsi="宋体" w:eastAsia="宋体" w:cs="宋体"/>
          <w:u w:val="single"/>
        </w:rPr>
        <w:t xml:space="preserve"> </w:t>
      </w:r>
      <w:r>
        <w:rPr>
          <w:rFonts w:hint="eastAsia" w:ascii="宋体" w:hAnsi="宋体" w:eastAsia="宋体" w:cs="宋体"/>
          <w:u w:val="single"/>
        </w:rPr>
        <w:tab/>
      </w:r>
    </w:p>
    <w:p>
      <w:pPr>
        <w:pStyle w:val="11"/>
        <w:keepNext w:val="0"/>
        <w:keepLines w:val="0"/>
        <w:pageBreakBefore w:val="0"/>
        <w:widowControl w:val="0"/>
        <w:kinsoku/>
        <w:wordWrap/>
        <w:overflowPunct/>
        <w:topLinePunct w:val="0"/>
        <w:autoSpaceDE w:val="0"/>
        <w:autoSpaceDN w:val="0"/>
        <w:bidi w:val="0"/>
        <w:adjustRightInd/>
        <w:snapToGrid/>
        <w:spacing w:before="4"/>
        <w:textAlignment w:val="auto"/>
        <w:outlineLvl w:val="9"/>
        <w:rPr>
          <w:rFonts w:hint="eastAsia" w:ascii="宋体" w:hAnsi="宋体" w:eastAsia="宋体" w:cs="宋体"/>
          <w:sz w:val="13"/>
        </w:rPr>
      </w:pPr>
    </w:p>
    <w:p>
      <w:pPr>
        <w:pStyle w:val="11"/>
        <w:keepNext w:val="0"/>
        <w:keepLines w:val="0"/>
        <w:pageBreakBefore w:val="0"/>
        <w:widowControl w:val="0"/>
        <w:tabs>
          <w:tab w:val="left" w:pos="3855"/>
          <w:tab w:val="left" w:pos="5535"/>
          <w:tab w:val="left" w:pos="7215"/>
        </w:tabs>
        <w:kinsoku/>
        <w:wordWrap/>
        <w:overflowPunct/>
        <w:topLinePunct w:val="0"/>
        <w:autoSpaceDE w:val="0"/>
        <w:autoSpaceDN w:val="0"/>
        <w:bidi w:val="0"/>
        <w:adjustRightInd/>
        <w:snapToGrid/>
        <w:spacing w:before="77"/>
        <w:ind w:left="1021"/>
        <w:textAlignment w:val="auto"/>
        <w:outlineLvl w:val="9"/>
        <w:rPr>
          <w:rFonts w:hint="eastAsia" w:ascii="宋体" w:hAnsi="宋体" w:eastAsia="宋体" w:cs="宋体"/>
        </w:rPr>
      </w:pPr>
      <w:r>
        <w:rPr>
          <w:rFonts w:hint="eastAsia" w:ascii="宋体" w:hAnsi="宋体" w:eastAsia="宋体" w:cs="宋体"/>
        </w:rPr>
        <w:t>成立时间：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12"/>
        </w:rPr>
      </w:pPr>
    </w:p>
    <w:p>
      <w:pPr>
        <w:pStyle w:val="11"/>
        <w:keepNext w:val="0"/>
        <w:keepLines w:val="0"/>
        <w:pageBreakBefore w:val="0"/>
        <w:widowControl w:val="0"/>
        <w:tabs>
          <w:tab w:val="left" w:pos="7998"/>
        </w:tabs>
        <w:kinsoku/>
        <w:wordWrap/>
        <w:overflowPunct/>
        <w:topLinePunct w:val="0"/>
        <w:autoSpaceDE w:val="0"/>
        <w:autoSpaceDN w:val="0"/>
        <w:bidi w:val="0"/>
        <w:adjustRightInd/>
        <w:snapToGrid/>
        <w:spacing w:before="77"/>
        <w:ind w:left="1021"/>
        <w:textAlignment w:val="auto"/>
        <w:outlineLvl w:val="9"/>
        <w:rPr>
          <w:rFonts w:hint="eastAsia" w:ascii="宋体" w:hAnsi="宋体" w:eastAsia="宋体" w:cs="宋体"/>
        </w:rPr>
      </w:pPr>
      <w:r>
        <w:rPr>
          <w:rFonts w:hint="eastAsia" w:ascii="宋体" w:hAnsi="宋体" w:eastAsia="宋体" w:cs="宋体"/>
        </w:rPr>
        <w:t>经营期限：</w:t>
      </w:r>
      <w:r>
        <w:rPr>
          <w:rFonts w:hint="eastAsia" w:ascii="宋体" w:hAnsi="宋体" w:eastAsia="宋体" w:cs="宋体"/>
          <w:u w:val="single"/>
        </w:rPr>
        <w:t xml:space="preserve"> </w:t>
      </w:r>
      <w:r>
        <w:rPr>
          <w:rFonts w:hint="eastAsia" w:ascii="宋体" w:hAnsi="宋体" w:eastAsia="宋体" w:cs="宋体"/>
          <w:u w:val="single"/>
        </w:rPr>
        <w:tab/>
      </w:r>
    </w:p>
    <w:p>
      <w:pPr>
        <w:pStyle w:val="11"/>
        <w:keepNext w:val="0"/>
        <w:keepLines w:val="0"/>
        <w:pageBreakBefore w:val="0"/>
        <w:widowControl w:val="0"/>
        <w:kinsoku/>
        <w:wordWrap/>
        <w:overflowPunct/>
        <w:topLinePunct w:val="0"/>
        <w:autoSpaceDE w:val="0"/>
        <w:autoSpaceDN w:val="0"/>
        <w:bidi w:val="0"/>
        <w:adjustRightInd/>
        <w:snapToGrid/>
        <w:spacing w:before="5"/>
        <w:textAlignment w:val="auto"/>
        <w:outlineLvl w:val="9"/>
        <w:rPr>
          <w:rFonts w:hint="eastAsia" w:ascii="宋体" w:hAnsi="宋体" w:eastAsia="宋体" w:cs="宋体"/>
          <w:sz w:val="13"/>
        </w:rPr>
      </w:pPr>
    </w:p>
    <w:p>
      <w:pPr>
        <w:pStyle w:val="11"/>
        <w:keepNext w:val="0"/>
        <w:keepLines w:val="0"/>
        <w:pageBreakBefore w:val="0"/>
        <w:widowControl w:val="0"/>
        <w:tabs>
          <w:tab w:val="left" w:pos="1650"/>
          <w:tab w:val="left" w:pos="4008"/>
          <w:tab w:val="left" w:pos="4590"/>
          <w:tab w:val="left" w:pos="5640"/>
          <w:tab w:val="left" w:pos="7788"/>
        </w:tabs>
        <w:kinsoku/>
        <w:wordWrap/>
        <w:overflowPunct/>
        <w:topLinePunct w:val="0"/>
        <w:autoSpaceDE w:val="0"/>
        <w:autoSpaceDN w:val="0"/>
        <w:bidi w:val="0"/>
        <w:adjustRightInd/>
        <w:snapToGrid/>
        <w:spacing w:before="77"/>
        <w:ind w:left="1021"/>
        <w:textAlignment w:val="auto"/>
        <w:outlineLvl w:val="9"/>
        <w:rPr>
          <w:rFonts w:hint="eastAsia" w:ascii="宋体" w:hAnsi="宋体" w:eastAsia="宋体" w:cs="宋体"/>
        </w:rPr>
      </w:pPr>
      <w:r>
        <w:rPr>
          <w:rFonts w:hint="eastAsia" w:ascii="宋体" w:hAnsi="宋体" w:eastAsia="宋体" w:cs="宋体"/>
        </w:rPr>
        <w:t>姓</w:t>
      </w:r>
      <w:r>
        <w:rPr>
          <w:rFonts w:hint="eastAsia" w:ascii="宋体" w:hAnsi="宋体" w:eastAsia="宋体" w:cs="宋体"/>
        </w:rPr>
        <w:tab/>
      </w:r>
      <w:r>
        <w:rPr>
          <w:rFonts w:hint="eastAsia" w:ascii="宋体" w:hAnsi="宋体" w:eastAsia="宋体" w:cs="宋体"/>
        </w:rPr>
        <w:t>名：</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性</w:t>
      </w:r>
      <w:r>
        <w:rPr>
          <w:rFonts w:hint="eastAsia" w:ascii="宋体" w:hAnsi="宋体" w:eastAsia="宋体" w:cs="宋体"/>
        </w:rPr>
        <w:tab/>
      </w:r>
      <w:r>
        <w:rPr>
          <w:rFonts w:hint="eastAsia" w:ascii="宋体" w:hAnsi="宋体" w:eastAsia="宋体" w:cs="宋体"/>
        </w:rPr>
        <w:t>别：</w:t>
      </w:r>
      <w:r>
        <w:rPr>
          <w:rFonts w:hint="eastAsia" w:ascii="宋体" w:hAnsi="宋体" w:eastAsia="宋体" w:cs="宋体"/>
          <w:u w:val="single"/>
        </w:rPr>
        <w:t xml:space="preserve"> </w:t>
      </w:r>
      <w:r>
        <w:rPr>
          <w:rFonts w:hint="eastAsia" w:ascii="宋体" w:hAnsi="宋体" w:eastAsia="宋体" w:cs="宋体"/>
          <w:u w:val="single"/>
        </w:rPr>
        <w:tab/>
      </w:r>
    </w:p>
    <w:p>
      <w:pPr>
        <w:pStyle w:val="11"/>
        <w:keepNext w:val="0"/>
        <w:keepLines w:val="0"/>
        <w:pageBreakBefore w:val="0"/>
        <w:widowControl w:val="0"/>
        <w:kinsoku/>
        <w:wordWrap/>
        <w:overflowPunct/>
        <w:topLinePunct w:val="0"/>
        <w:autoSpaceDE w:val="0"/>
        <w:autoSpaceDN w:val="0"/>
        <w:bidi w:val="0"/>
        <w:adjustRightInd/>
        <w:snapToGrid/>
        <w:spacing w:before="4"/>
        <w:textAlignment w:val="auto"/>
        <w:outlineLvl w:val="9"/>
        <w:rPr>
          <w:rFonts w:hint="eastAsia" w:ascii="宋体" w:hAnsi="宋体" w:eastAsia="宋体" w:cs="宋体"/>
          <w:sz w:val="13"/>
        </w:rPr>
      </w:pPr>
    </w:p>
    <w:p>
      <w:pPr>
        <w:pStyle w:val="11"/>
        <w:keepNext w:val="0"/>
        <w:keepLines w:val="0"/>
        <w:pageBreakBefore w:val="0"/>
        <w:widowControl w:val="0"/>
        <w:tabs>
          <w:tab w:val="left" w:pos="1650"/>
          <w:tab w:val="left" w:pos="4800"/>
          <w:tab w:val="left" w:pos="5850"/>
          <w:tab w:val="left" w:pos="7998"/>
        </w:tabs>
        <w:kinsoku/>
        <w:wordWrap/>
        <w:overflowPunct/>
        <w:topLinePunct w:val="0"/>
        <w:autoSpaceDE w:val="0"/>
        <w:autoSpaceDN w:val="0"/>
        <w:bidi w:val="0"/>
        <w:adjustRightInd/>
        <w:snapToGrid/>
        <w:spacing w:before="77"/>
        <w:ind w:left="1021"/>
        <w:textAlignment w:val="auto"/>
        <w:outlineLvl w:val="9"/>
        <w:rPr>
          <w:rFonts w:hint="eastAsia" w:ascii="宋体" w:hAnsi="宋体" w:eastAsia="宋体" w:cs="宋体"/>
        </w:rPr>
      </w:pP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龄：</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职</w:t>
      </w:r>
      <w:r>
        <w:rPr>
          <w:rFonts w:hint="eastAsia" w:ascii="宋体" w:hAnsi="宋体" w:eastAsia="宋体" w:cs="宋体"/>
        </w:rPr>
        <w:tab/>
      </w:r>
      <w:r>
        <w:rPr>
          <w:rFonts w:hint="eastAsia" w:ascii="宋体" w:hAnsi="宋体" w:eastAsia="宋体" w:cs="宋体"/>
        </w:rPr>
        <w:t>务：</w:t>
      </w:r>
      <w:r>
        <w:rPr>
          <w:rFonts w:hint="eastAsia" w:ascii="宋体" w:hAnsi="宋体" w:eastAsia="宋体" w:cs="宋体"/>
          <w:u w:val="single"/>
        </w:rPr>
        <w:t xml:space="preserve"> </w:t>
      </w:r>
      <w:r>
        <w:rPr>
          <w:rFonts w:hint="eastAsia" w:ascii="宋体" w:hAnsi="宋体" w:eastAsia="宋体" w:cs="宋体"/>
          <w:u w:val="single"/>
        </w:rPr>
        <w:tab/>
      </w:r>
    </w:p>
    <w:p>
      <w:pPr>
        <w:pStyle w:val="11"/>
        <w:keepNext w:val="0"/>
        <w:keepLines w:val="0"/>
        <w:pageBreakBefore w:val="0"/>
        <w:widowControl w:val="0"/>
        <w:kinsoku/>
        <w:wordWrap/>
        <w:overflowPunct/>
        <w:topLinePunct w:val="0"/>
        <w:autoSpaceDE w:val="0"/>
        <w:autoSpaceDN w:val="0"/>
        <w:bidi w:val="0"/>
        <w:adjustRightInd/>
        <w:snapToGrid/>
        <w:spacing w:before="5"/>
        <w:textAlignment w:val="auto"/>
        <w:outlineLvl w:val="9"/>
        <w:rPr>
          <w:rFonts w:hint="eastAsia" w:ascii="宋体" w:hAnsi="宋体" w:eastAsia="宋体" w:cs="宋体"/>
          <w:sz w:val="13"/>
        </w:rPr>
      </w:pPr>
    </w:p>
    <w:p>
      <w:pPr>
        <w:pStyle w:val="11"/>
        <w:keepNext w:val="0"/>
        <w:keepLines w:val="0"/>
        <w:pageBreakBefore w:val="0"/>
        <w:widowControl w:val="0"/>
        <w:tabs>
          <w:tab w:val="left" w:pos="6375"/>
        </w:tabs>
        <w:kinsoku/>
        <w:wordWrap/>
        <w:overflowPunct/>
        <w:topLinePunct w:val="0"/>
        <w:autoSpaceDE w:val="0"/>
        <w:autoSpaceDN w:val="0"/>
        <w:bidi w:val="0"/>
        <w:adjustRightInd/>
        <w:snapToGrid/>
        <w:spacing w:before="77"/>
        <w:ind w:left="1021"/>
        <w:textAlignment w:val="auto"/>
        <w:outlineLvl w:val="9"/>
        <w:rPr>
          <w:rFonts w:hint="eastAsia" w:ascii="宋体" w:hAnsi="宋体" w:eastAsia="宋体" w:cs="宋体"/>
        </w:rPr>
      </w:pPr>
      <w:r>
        <w:rPr>
          <w:rFonts w:hint="eastAsia" w:ascii="宋体" w:hAnsi="宋体" w:eastAsia="宋体" w:cs="宋体"/>
        </w:rPr>
        <w:t>系</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（投标人名称）的法定代表人。</w:t>
      </w:r>
    </w:p>
    <w:p>
      <w:pPr>
        <w:pStyle w:val="11"/>
        <w:keepNext w:val="0"/>
        <w:keepLines w:val="0"/>
        <w:pageBreakBefore w:val="0"/>
        <w:widowControl w:val="0"/>
        <w:kinsoku/>
        <w:wordWrap/>
        <w:overflowPunct/>
        <w:topLinePunct w:val="0"/>
        <w:autoSpaceDE w:val="0"/>
        <w:autoSpaceDN w:val="0"/>
        <w:bidi w:val="0"/>
        <w:adjustRightInd/>
        <w:snapToGrid/>
        <w:spacing w:before="6"/>
        <w:textAlignment w:val="auto"/>
        <w:outlineLvl w:val="9"/>
        <w:rPr>
          <w:rFonts w:hint="eastAsia" w:ascii="宋体" w:hAnsi="宋体" w:eastAsia="宋体" w:cs="宋体"/>
          <w:sz w:val="12"/>
        </w:rPr>
      </w:pPr>
    </w:p>
    <w:p>
      <w:pPr>
        <w:pStyle w:val="11"/>
        <w:keepNext w:val="0"/>
        <w:keepLines w:val="0"/>
        <w:pageBreakBefore w:val="0"/>
        <w:widowControl w:val="0"/>
        <w:kinsoku/>
        <w:wordWrap/>
        <w:overflowPunct/>
        <w:topLinePunct w:val="0"/>
        <w:autoSpaceDE w:val="0"/>
        <w:autoSpaceDN w:val="0"/>
        <w:bidi w:val="0"/>
        <w:adjustRightInd/>
        <w:snapToGrid/>
        <w:spacing w:before="71"/>
        <w:ind w:left="1021"/>
        <w:textAlignment w:val="auto"/>
        <w:outlineLvl w:val="9"/>
        <w:rPr>
          <w:rFonts w:hint="eastAsia" w:ascii="宋体" w:hAnsi="宋体" w:eastAsia="宋体" w:cs="宋体"/>
        </w:rPr>
      </w:pPr>
      <w:r>
        <w:rPr>
          <w:rFonts w:hint="eastAsia" w:ascii="宋体" w:hAnsi="宋体" w:eastAsia="宋体" w:cs="宋体"/>
        </w:rPr>
        <w:t>特此证明。</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18"/>
        </w:rPr>
      </w:pPr>
    </w:p>
    <w:p>
      <w:pPr>
        <w:pStyle w:val="11"/>
        <w:keepNext w:val="0"/>
        <w:keepLines w:val="0"/>
        <w:pageBreakBefore w:val="0"/>
        <w:widowControl w:val="0"/>
        <w:kinsoku/>
        <w:wordWrap/>
        <w:overflowPunct/>
        <w:topLinePunct w:val="0"/>
        <w:autoSpaceDE w:val="0"/>
        <w:autoSpaceDN w:val="0"/>
        <w:bidi w:val="0"/>
        <w:adjustRightInd/>
        <w:snapToGrid/>
        <w:ind w:left="1021"/>
        <w:textAlignment w:val="auto"/>
        <w:outlineLvl w:val="9"/>
        <w:rPr>
          <w:rFonts w:hint="eastAsia" w:ascii="宋体" w:hAnsi="宋体" w:eastAsia="宋体" w:cs="宋体"/>
        </w:rPr>
      </w:pPr>
      <w:r>
        <w:rPr>
          <w:rFonts w:hint="eastAsia" w:ascii="宋体" w:hAnsi="宋体" w:eastAsia="宋体" w:cs="宋体"/>
        </w:rPr>
        <w:t>附法定代表人身份证复印件</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spacing w:before="1"/>
        <w:textAlignment w:val="auto"/>
        <w:outlineLvl w:val="9"/>
        <w:rPr>
          <w:rFonts w:hint="eastAsia" w:ascii="宋体" w:hAnsi="宋体" w:eastAsia="宋体" w:cs="宋体"/>
          <w:sz w:val="17"/>
        </w:rPr>
      </w:pPr>
    </w:p>
    <w:p>
      <w:pPr>
        <w:pStyle w:val="11"/>
        <w:keepNext w:val="0"/>
        <w:keepLines w:val="0"/>
        <w:pageBreakBefore w:val="0"/>
        <w:widowControl w:val="0"/>
        <w:tabs>
          <w:tab w:val="left" w:pos="8264"/>
        </w:tabs>
        <w:kinsoku/>
        <w:wordWrap/>
        <w:overflowPunct/>
        <w:topLinePunct w:val="0"/>
        <w:autoSpaceDE w:val="0"/>
        <w:autoSpaceDN w:val="0"/>
        <w:bidi w:val="0"/>
        <w:adjustRightInd/>
        <w:snapToGrid/>
        <w:ind w:left="4695" w:firstLine="840" w:firstLineChars="400"/>
        <w:textAlignment w:val="auto"/>
        <w:outlineLvl w:val="9"/>
        <w:rPr>
          <w:rFonts w:hint="eastAsia" w:ascii="宋体" w:hAnsi="宋体" w:eastAsia="宋体" w:cs="宋体"/>
        </w:rPr>
      </w:pPr>
      <w:r>
        <w:rPr>
          <w:rFonts w:hint="eastAsia" w:ascii="宋体" w:hAnsi="宋体" w:eastAsia="宋体" w:cs="宋体"/>
        </w:rPr>
        <w:t>投标人：（电子签章）</w:t>
      </w:r>
    </w:p>
    <w:p>
      <w:pPr>
        <w:pStyle w:val="11"/>
        <w:keepNext w:val="0"/>
        <w:keepLines w:val="0"/>
        <w:pageBreakBefore w:val="0"/>
        <w:widowControl w:val="0"/>
        <w:kinsoku/>
        <w:wordWrap/>
        <w:overflowPunct/>
        <w:topLinePunct w:val="0"/>
        <w:autoSpaceDE w:val="0"/>
        <w:autoSpaceDN w:val="0"/>
        <w:bidi w:val="0"/>
        <w:adjustRightInd/>
        <w:snapToGrid/>
        <w:spacing w:before="6"/>
        <w:textAlignment w:val="auto"/>
        <w:outlineLvl w:val="9"/>
        <w:rPr>
          <w:rFonts w:hint="eastAsia" w:ascii="宋体" w:hAnsi="宋体" w:eastAsia="宋体" w:cs="宋体"/>
          <w:sz w:val="12"/>
        </w:rPr>
      </w:pPr>
    </w:p>
    <w:p>
      <w:pPr>
        <w:pStyle w:val="11"/>
        <w:keepNext w:val="0"/>
        <w:keepLines w:val="0"/>
        <w:pageBreakBefore w:val="0"/>
        <w:widowControl w:val="0"/>
        <w:tabs>
          <w:tab w:val="left" w:pos="7214"/>
          <w:tab w:val="left" w:pos="8264"/>
          <w:tab w:val="left" w:pos="9314"/>
        </w:tabs>
        <w:kinsoku/>
        <w:wordWrap/>
        <w:overflowPunct/>
        <w:topLinePunct w:val="0"/>
        <w:autoSpaceDE w:val="0"/>
        <w:autoSpaceDN w:val="0"/>
        <w:bidi w:val="0"/>
        <w:adjustRightInd/>
        <w:snapToGrid/>
        <w:spacing w:before="71"/>
        <w:ind w:left="6270"/>
        <w:textAlignment w:val="auto"/>
        <w:outlineLvl w:val="9"/>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keepNext w:val="0"/>
        <w:keepLines w:val="0"/>
        <w:pageBreakBefore w:val="0"/>
        <w:widowControl w:val="0"/>
        <w:kinsoku/>
        <w:wordWrap/>
        <w:overflowPunct/>
        <w:topLinePunct w:val="0"/>
        <w:autoSpaceDE w:val="0"/>
        <w:autoSpaceDN w:val="0"/>
        <w:bidi w:val="0"/>
        <w:adjustRightInd/>
        <w:snapToGrid/>
        <w:spacing w:after="0"/>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spacing w:before="94"/>
        <w:ind w:left="399" w:right="418"/>
        <w:jc w:val="center"/>
        <w:textAlignment w:val="auto"/>
        <w:outlineLvl w:val="9"/>
        <w:rPr>
          <w:rFonts w:hint="eastAsia" w:ascii="宋体" w:hAnsi="宋体" w:eastAsia="宋体" w:cs="宋体"/>
        </w:rPr>
      </w:pPr>
      <w:bookmarkStart w:id="1309" w:name="_Toc10758"/>
      <w:bookmarkStart w:id="1310" w:name="_Toc20022"/>
      <w:bookmarkStart w:id="1311" w:name="_Toc3470"/>
      <w:r>
        <w:rPr>
          <w:rFonts w:hint="eastAsia" w:ascii="宋体" w:hAnsi="宋体" w:eastAsia="宋体" w:cs="宋体"/>
        </w:rPr>
        <w:t>授权委托书</w:t>
      </w:r>
      <w:bookmarkEnd w:id="1309"/>
      <w:bookmarkEnd w:id="1310"/>
      <w:bookmarkEnd w:id="1311"/>
    </w:p>
    <w:p>
      <w:pPr>
        <w:pStyle w:val="11"/>
        <w:keepNext w:val="0"/>
        <w:keepLines w:val="0"/>
        <w:pageBreakBefore w:val="0"/>
        <w:widowControl w:val="0"/>
        <w:tabs>
          <w:tab w:val="left" w:pos="1803"/>
          <w:tab w:val="left" w:pos="3837"/>
          <w:tab w:val="left" w:pos="8063"/>
        </w:tabs>
        <w:kinsoku/>
        <w:wordWrap/>
        <w:overflowPunct/>
        <w:topLinePunct w:val="0"/>
        <w:autoSpaceDE w:val="0"/>
        <w:autoSpaceDN w:val="0"/>
        <w:bidi w:val="0"/>
        <w:adjustRightInd/>
        <w:snapToGrid/>
        <w:spacing w:before="207"/>
        <w:ind w:left="399"/>
        <w:jc w:val="center"/>
        <w:textAlignment w:val="auto"/>
        <w:outlineLvl w:val="9"/>
        <w:rPr>
          <w:rFonts w:hint="eastAsia" w:ascii="宋体" w:hAnsi="宋体" w:eastAsia="宋体" w:cs="宋体"/>
        </w:rPr>
      </w:pPr>
      <w:r>
        <w:rPr>
          <w:rFonts w:hint="eastAsia" w:ascii="宋体" w:hAnsi="宋体" w:eastAsia="宋体" w:cs="宋体"/>
        </w:rPr>
        <w:t>本人</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（姓名）系</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（投标人名称）的法定代表人，现委托</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（姓</w:t>
      </w:r>
    </w:p>
    <w:p>
      <w:pPr>
        <w:pStyle w:val="11"/>
        <w:keepNext w:val="0"/>
        <w:keepLines w:val="0"/>
        <w:pageBreakBefore w:val="0"/>
        <w:widowControl w:val="0"/>
        <w:kinsoku/>
        <w:wordWrap/>
        <w:overflowPunct/>
        <w:topLinePunct w:val="0"/>
        <w:autoSpaceDE w:val="0"/>
        <w:autoSpaceDN w:val="0"/>
        <w:bidi w:val="0"/>
        <w:adjustRightInd/>
        <w:snapToGrid/>
        <w:spacing w:before="6"/>
        <w:textAlignment w:val="auto"/>
        <w:outlineLvl w:val="9"/>
        <w:rPr>
          <w:rFonts w:hint="eastAsia" w:ascii="宋体" w:hAnsi="宋体" w:eastAsia="宋体" w:cs="宋体"/>
          <w:sz w:val="12"/>
        </w:rPr>
      </w:pPr>
    </w:p>
    <w:p>
      <w:pPr>
        <w:pStyle w:val="11"/>
        <w:keepNext w:val="0"/>
        <w:keepLines w:val="0"/>
        <w:pageBreakBefore w:val="0"/>
        <w:widowControl w:val="0"/>
        <w:tabs>
          <w:tab w:val="left" w:pos="2948"/>
          <w:tab w:val="left" w:pos="4904"/>
        </w:tabs>
        <w:kinsoku/>
        <w:wordWrap/>
        <w:overflowPunct/>
        <w:topLinePunct w:val="0"/>
        <w:autoSpaceDE w:val="0"/>
        <w:autoSpaceDN w:val="0"/>
        <w:bidi w:val="0"/>
        <w:adjustRightInd/>
        <w:snapToGrid/>
        <w:spacing w:before="71" w:line="446" w:lineRule="auto"/>
        <w:ind w:left="1021" w:right="1040"/>
        <w:textAlignment w:val="auto"/>
        <w:outlineLvl w:val="9"/>
        <w:rPr>
          <w:rFonts w:hint="eastAsia" w:ascii="宋体" w:hAnsi="宋体" w:eastAsia="宋体" w:cs="宋体"/>
        </w:rPr>
      </w:pPr>
      <w:r>
        <w:rPr>
          <w:rFonts w:hint="eastAsia" w:ascii="宋体" w:hAnsi="宋体" w:eastAsia="宋体" w:cs="宋体"/>
        </w:rPr>
        <w:t>名）为我方代理人。代理人根据授权，以我方名义签署、澄清、说明、补正、递交、撤回、修改</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标段施工投标文件、签订合同和处理有关事宜，</w:t>
      </w:r>
      <w:r>
        <w:rPr>
          <w:rFonts w:hint="eastAsia" w:ascii="宋体" w:hAnsi="宋体" w:eastAsia="宋体" w:cs="宋体"/>
          <w:spacing w:val="-18"/>
        </w:rPr>
        <w:t>其</w:t>
      </w:r>
    </w:p>
    <w:p>
      <w:pPr>
        <w:pStyle w:val="11"/>
        <w:keepNext w:val="0"/>
        <w:keepLines w:val="0"/>
        <w:pageBreakBefore w:val="0"/>
        <w:widowControl w:val="0"/>
        <w:kinsoku/>
        <w:wordWrap/>
        <w:overflowPunct/>
        <w:topLinePunct w:val="0"/>
        <w:autoSpaceDE w:val="0"/>
        <w:autoSpaceDN w:val="0"/>
        <w:bidi w:val="0"/>
        <w:adjustRightInd/>
        <w:snapToGrid/>
        <w:spacing w:line="269" w:lineRule="exact"/>
        <w:ind w:left="1021"/>
        <w:textAlignment w:val="auto"/>
        <w:outlineLvl w:val="9"/>
        <w:rPr>
          <w:rFonts w:hint="eastAsia" w:ascii="宋体" w:hAnsi="宋体" w:eastAsia="宋体" w:cs="宋体"/>
        </w:rPr>
      </w:pPr>
      <w:r>
        <w:rPr>
          <w:rFonts w:hint="eastAsia" w:ascii="宋体" w:hAnsi="宋体" w:eastAsia="宋体" w:cs="宋体"/>
        </w:rPr>
        <w:t>法律后果由我方承担。</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18"/>
        </w:rPr>
      </w:pPr>
    </w:p>
    <w:p>
      <w:pPr>
        <w:pStyle w:val="11"/>
        <w:keepNext w:val="0"/>
        <w:keepLines w:val="0"/>
        <w:pageBreakBefore w:val="0"/>
        <w:widowControl w:val="0"/>
        <w:tabs>
          <w:tab w:val="left" w:pos="8628"/>
        </w:tabs>
        <w:kinsoku/>
        <w:wordWrap/>
        <w:overflowPunct/>
        <w:topLinePunct w:val="0"/>
        <w:autoSpaceDE w:val="0"/>
        <w:autoSpaceDN w:val="0"/>
        <w:bidi w:val="0"/>
        <w:adjustRightInd/>
        <w:snapToGrid/>
        <w:ind w:left="1441"/>
        <w:textAlignment w:val="auto"/>
        <w:outlineLvl w:val="9"/>
        <w:rPr>
          <w:rFonts w:hint="eastAsia" w:ascii="宋体" w:hAnsi="宋体" w:eastAsia="宋体" w:cs="宋体"/>
        </w:rPr>
      </w:pPr>
      <w:r>
        <w:rPr>
          <w:rFonts w:hint="eastAsia" w:ascii="宋体" w:hAnsi="宋体" w:eastAsia="宋体" w:cs="宋体"/>
        </w:rPr>
        <w:t>委托期限：</w:t>
      </w:r>
      <w:r>
        <w:rPr>
          <w:rFonts w:hint="eastAsia" w:ascii="宋体" w:hAnsi="宋体" w:eastAsia="宋体" w:cs="宋体"/>
          <w:u w:val="single"/>
        </w:rPr>
        <w:t xml:space="preserve"> </w:t>
      </w:r>
      <w:r>
        <w:rPr>
          <w:rFonts w:hint="eastAsia" w:ascii="宋体" w:hAnsi="宋体" w:eastAsia="宋体" w:cs="宋体"/>
          <w:u w:val="single"/>
        </w:rPr>
        <w:tab/>
      </w:r>
    </w:p>
    <w:p>
      <w:pPr>
        <w:pStyle w:val="11"/>
        <w:keepNext w:val="0"/>
        <w:keepLines w:val="0"/>
        <w:pageBreakBefore w:val="0"/>
        <w:widowControl w:val="0"/>
        <w:kinsoku/>
        <w:wordWrap/>
        <w:overflowPunct/>
        <w:topLinePunct w:val="0"/>
        <w:autoSpaceDE w:val="0"/>
        <w:autoSpaceDN w:val="0"/>
        <w:bidi w:val="0"/>
        <w:adjustRightInd/>
        <w:snapToGrid/>
        <w:spacing w:before="4"/>
        <w:textAlignment w:val="auto"/>
        <w:outlineLvl w:val="9"/>
        <w:rPr>
          <w:rFonts w:hint="eastAsia" w:ascii="宋体" w:hAnsi="宋体" w:eastAsia="宋体" w:cs="宋体"/>
          <w:sz w:val="13"/>
        </w:rPr>
      </w:pPr>
    </w:p>
    <w:p>
      <w:pPr>
        <w:pStyle w:val="11"/>
        <w:keepNext w:val="0"/>
        <w:keepLines w:val="0"/>
        <w:pageBreakBefore w:val="0"/>
        <w:widowControl w:val="0"/>
        <w:tabs>
          <w:tab w:val="left" w:pos="8475"/>
        </w:tabs>
        <w:kinsoku/>
        <w:wordWrap/>
        <w:overflowPunct/>
        <w:topLinePunct w:val="0"/>
        <w:autoSpaceDE w:val="0"/>
        <w:autoSpaceDN w:val="0"/>
        <w:bidi w:val="0"/>
        <w:adjustRightInd/>
        <w:snapToGrid/>
        <w:spacing w:before="77"/>
        <w:ind w:left="2491"/>
        <w:textAlignment w:val="auto"/>
        <w:outlineLvl w:val="9"/>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p>
    <w:p>
      <w:pPr>
        <w:pStyle w:val="11"/>
        <w:keepNext w:val="0"/>
        <w:keepLines w:val="0"/>
        <w:pageBreakBefore w:val="0"/>
        <w:widowControl w:val="0"/>
        <w:kinsoku/>
        <w:wordWrap/>
        <w:overflowPunct/>
        <w:topLinePunct w:val="0"/>
        <w:autoSpaceDE w:val="0"/>
        <w:autoSpaceDN w:val="0"/>
        <w:bidi w:val="0"/>
        <w:adjustRightInd/>
        <w:snapToGrid/>
        <w:spacing w:before="7"/>
        <w:textAlignment w:val="auto"/>
        <w:outlineLvl w:val="9"/>
        <w:rPr>
          <w:rFonts w:hint="eastAsia" w:ascii="宋体" w:hAnsi="宋体" w:eastAsia="宋体" w:cs="宋体"/>
          <w:sz w:val="12"/>
        </w:rPr>
      </w:pPr>
    </w:p>
    <w:p>
      <w:pPr>
        <w:pStyle w:val="11"/>
        <w:keepNext w:val="0"/>
        <w:keepLines w:val="0"/>
        <w:pageBreakBefore w:val="0"/>
        <w:widowControl w:val="0"/>
        <w:kinsoku/>
        <w:wordWrap/>
        <w:overflowPunct/>
        <w:topLinePunct w:val="0"/>
        <w:autoSpaceDE w:val="0"/>
        <w:autoSpaceDN w:val="0"/>
        <w:bidi w:val="0"/>
        <w:adjustRightInd/>
        <w:snapToGrid/>
        <w:spacing w:before="71"/>
        <w:ind w:left="1441"/>
        <w:textAlignment w:val="auto"/>
        <w:outlineLvl w:val="9"/>
        <w:rPr>
          <w:rFonts w:hint="eastAsia" w:ascii="宋体" w:hAnsi="宋体" w:eastAsia="宋体" w:cs="宋体"/>
        </w:rPr>
      </w:pPr>
      <w:r>
        <w:rPr>
          <w:rFonts w:hint="eastAsia" w:ascii="宋体" w:hAnsi="宋体" w:eastAsia="宋体" w:cs="宋体"/>
        </w:rPr>
        <w:t>代理人无转委托权。</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18"/>
        </w:rPr>
      </w:pPr>
    </w:p>
    <w:p>
      <w:pPr>
        <w:pStyle w:val="11"/>
        <w:keepNext w:val="0"/>
        <w:keepLines w:val="0"/>
        <w:pageBreakBefore w:val="0"/>
        <w:widowControl w:val="0"/>
        <w:kinsoku/>
        <w:wordWrap/>
        <w:overflowPunct/>
        <w:topLinePunct w:val="0"/>
        <w:autoSpaceDE w:val="0"/>
        <w:autoSpaceDN w:val="0"/>
        <w:bidi w:val="0"/>
        <w:adjustRightInd/>
        <w:snapToGrid/>
        <w:ind w:left="1441"/>
        <w:textAlignment w:val="auto"/>
        <w:outlineLvl w:val="9"/>
        <w:rPr>
          <w:rFonts w:hint="eastAsia" w:ascii="宋体" w:hAnsi="宋体" w:eastAsia="宋体" w:cs="宋体"/>
        </w:rPr>
      </w:pPr>
      <w:r>
        <w:rPr>
          <w:rFonts w:hint="eastAsia" w:ascii="宋体" w:hAnsi="宋体" w:eastAsia="宋体" w:cs="宋体"/>
        </w:rPr>
        <w:t>附：法定代表人及委托代理人身份证复印件</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tabs>
          <w:tab w:val="left" w:pos="5010"/>
          <w:tab w:val="left" w:pos="5430"/>
          <w:tab w:val="left" w:pos="8370"/>
        </w:tabs>
        <w:kinsoku/>
        <w:wordWrap/>
        <w:overflowPunct/>
        <w:topLinePunct w:val="0"/>
        <w:autoSpaceDE w:val="0"/>
        <w:autoSpaceDN w:val="0"/>
        <w:bidi w:val="0"/>
        <w:adjustRightInd/>
        <w:snapToGrid/>
        <w:spacing w:before="138"/>
        <w:ind w:left="4591"/>
        <w:textAlignment w:val="auto"/>
        <w:outlineLvl w:val="9"/>
        <w:rPr>
          <w:rFonts w:hint="eastAsia" w:ascii="宋体" w:hAnsi="宋体" w:eastAsia="宋体" w:cs="宋体"/>
          <w:sz w:val="26"/>
        </w:rPr>
      </w:pPr>
      <w:r>
        <w:rPr>
          <w:rFonts w:hint="eastAsia" w:ascii="宋体" w:hAnsi="宋体" w:eastAsia="宋体" w:cs="宋体"/>
        </w:rPr>
        <w:t>投</w:t>
      </w:r>
      <w:r>
        <w:rPr>
          <w:rFonts w:hint="eastAsia" w:ascii="宋体" w:hAnsi="宋体" w:eastAsia="宋体" w:cs="宋体"/>
        </w:rPr>
        <w:tab/>
      </w:r>
      <w:r>
        <w:rPr>
          <w:rFonts w:hint="eastAsia" w:ascii="宋体" w:hAnsi="宋体" w:eastAsia="宋体" w:cs="宋体"/>
        </w:rPr>
        <w:t>标</w:t>
      </w:r>
      <w:r>
        <w:rPr>
          <w:rFonts w:hint="eastAsia" w:ascii="宋体" w:hAnsi="宋体" w:eastAsia="宋体" w:cs="宋体"/>
        </w:rPr>
        <w:tab/>
      </w:r>
      <w:r>
        <w:rPr>
          <w:rFonts w:hint="eastAsia" w:ascii="宋体" w:hAnsi="宋体" w:eastAsia="宋体" w:cs="宋体"/>
        </w:rPr>
        <w:t>人：（电子签章）</w:t>
      </w:r>
    </w:p>
    <w:p>
      <w:pPr>
        <w:pStyle w:val="11"/>
        <w:keepNext w:val="0"/>
        <w:keepLines w:val="0"/>
        <w:pageBreakBefore w:val="0"/>
        <w:widowControl w:val="0"/>
        <w:tabs>
          <w:tab w:val="left" w:pos="8370"/>
        </w:tabs>
        <w:kinsoku/>
        <w:wordWrap/>
        <w:overflowPunct/>
        <w:topLinePunct w:val="0"/>
        <w:autoSpaceDE w:val="0"/>
        <w:autoSpaceDN w:val="0"/>
        <w:bidi w:val="0"/>
        <w:adjustRightInd/>
        <w:snapToGrid/>
        <w:spacing w:before="78"/>
        <w:ind w:left="4591"/>
        <w:textAlignment w:val="auto"/>
        <w:outlineLvl w:val="9"/>
        <w:rPr>
          <w:rFonts w:hint="eastAsia" w:ascii="宋体" w:hAnsi="宋体" w:eastAsia="宋体" w:cs="宋体"/>
          <w:sz w:val="26"/>
        </w:rPr>
      </w:pPr>
      <w:r>
        <w:rPr>
          <w:rFonts w:hint="eastAsia" w:ascii="宋体" w:hAnsi="宋体" w:eastAsia="宋体" w:cs="宋体"/>
        </w:rPr>
        <w:t>法定代表人：</w:t>
      </w:r>
      <w:r>
        <w:rPr>
          <w:rFonts w:hint="eastAsia" w:ascii="宋体" w:hAnsi="宋体" w:eastAsia="宋体" w:cs="宋体"/>
          <w:u w:val="single"/>
        </w:rPr>
        <w:t xml:space="preserve"> </w:t>
      </w:r>
      <w:r>
        <w:rPr>
          <w:rFonts w:hint="eastAsia" w:ascii="宋体" w:hAnsi="宋体" w:eastAsia="宋体" w:cs="宋体"/>
        </w:rPr>
        <w:t>（电子签章）</w:t>
      </w:r>
    </w:p>
    <w:p>
      <w:pPr>
        <w:pStyle w:val="11"/>
        <w:keepNext w:val="0"/>
        <w:keepLines w:val="0"/>
        <w:pageBreakBefore w:val="0"/>
        <w:widowControl w:val="0"/>
        <w:kinsoku/>
        <w:wordWrap/>
        <w:overflowPunct/>
        <w:topLinePunct w:val="0"/>
        <w:autoSpaceDE w:val="0"/>
        <w:autoSpaceDN w:val="0"/>
        <w:bidi w:val="0"/>
        <w:adjustRightInd/>
        <w:snapToGrid/>
        <w:spacing w:before="5"/>
        <w:ind w:firstLine="4620" w:firstLineChars="2200"/>
        <w:textAlignment w:val="auto"/>
        <w:outlineLvl w:val="9"/>
        <w:rPr>
          <w:rFonts w:hint="eastAsia" w:ascii="宋体" w:hAnsi="宋体" w:eastAsia="宋体" w:cs="宋体"/>
          <w:sz w:val="19"/>
        </w:rPr>
      </w:pPr>
      <w:r>
        <w:rPr>
          <w:rFonts w:hint="eastAsia" w:ascii="宋体" w:hAnsi="宋体" w:eastAsia="宋体" w:cs="宋体"/>
        </w:rPr>
        <w:t>身份证号码：</w:t>
      </w:r>
    </w:p>
    <w:p>
      <w:pPr>
        <w:pStyle w:val="11"/>
        <w:keepNext w:val="0"/>
        <w:keepLines w:val="0"/>
        <w:pageBreakBefore w:val="0"/>
        <w:widowControl w:val="0"/>
        <w:tabs>
          <w:tab w:val="left" w:pos="8160"/>
        </w:tabs>
        <w:kinsoku/>
        <w:wordWrap/>
        <w:overflowPunct/>
        <w:topLinePunct w:val="0"/>
        <w:autoSpaceDE w:val="0"/>
        <w:autoSpaceDN w:val="0"/>
        <w:bidi w:val="0"/>
        <w:adjustRightInd/>
        <w:snapToGrid/>
        <w:spacing w:before="78"/>
        <w:ind w:left="4591"/>
        <w:textAlignment w:val="auto"/>
        <w:outlineLvl w:val="9"/>
        <w:rPr>
          <w:rFonts w:hint="eastAsia" w:ascii="宋体" w:hAnsi="宋体" w:eastAsia="宋体" w:cs="宋体"/>
          <w:sz w:val="26"/>
        </w:rPr>
      </w:pPr>
      <w:r>
        <w:rPr>
          <w:rFonts w:hint="eastAsia" w:ascii="宋体" w:hAnsi="宋体" w:eastAsia="宋体" w:cs="宋体"/>
        </w:rPr>
        <w:t>委托代理人：</w:t>
      </w:r>
      <w:r>
        <w:rPr>
          <w:rFonts w:hint="eastAsia" w:ascii="宋体" w:hAnsi="宋体" w:eastAsia="宋体" w:cs="宋体"/>
          <w:u w:val="single"/>
        </w:rPr>
        <w:t xml:space="preserve"> </w:t>
      </w:r>
      <w:r>
        <w:rPr>
          <w:rFonts w:hint="eastAsia" w:ascii="宋体" w:hAnsi="宋体" w:eastAsia="宋体" w:cs="宋体"/>
        </w:rPr>
        <w:t>（签字或盖章）</w:t>
      </w:r>
    </w:p>
    <w:p>
      <w:pPr>
        <w:pStyle w:val="11"/>
        <w:keepNext w:val="0"/>
        <w:keepLines w:val="0"/>
        <w:pageBreakBefore w:val="0"/>
        <w:widowControl w:val="0"/>
        <w:tabs>
          <w:tab w:val="left" w:pos="9572"/>
        </w:tabs>
        <w:kinsoku/>
        <w:wordWrap/>
        <w:overflowPunct/>
        <w:topLinePunct w:val="0"/>
        <w:autoSpaceDE w:val="0"/>
        <w:autoSpaceDN w:val="0"/>
        <w:bidi w:val="0"/>
        <w:adjustRightInd/>
        <w:snapToGrid/>
        <w:spacing w:before="78"/>
        <w:ind w:left="4591"/>
        <w:textAlignment w:val="auto"/>
        <w:outlineLvl w:val="9"/>
        <w:rPr>
          <w:rFonts w:hint="eastAsia" w:ascii="宋体" w:hAnsi="宋体" w:eastAsia="宋体" w:cs="宋体"/>
        </w:rPr>
      </w:pPr>
      <w:r>
        <w:rPr>
          <w:rFonts w:hint="eastAsia" w:ascii="宋体" w:hAnsi="宋体" w:eastAsia="宋体" w:cs="宋体"/>
        </w:rPr>
        <w:t>身份证号码：</w:t>
      </w:r>
      <w:r>
        <w:rPr>
          <w:rFonts w:hint="eastAsia" w:ascii="宋体" w:hAnsi="宋体" w:eastAsia="宋体" w:cs="宋体"/>
          <w:u w:val="single"/>
        </w:rPr>
        <w:t xml:space="preserve"> </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tabs>
          <w:tab w:val="left" w:pos="6690"/>
          <w:tab w:val="left" w:pos="7740"/>
          <w:tab w:val="left" w:pos="8790"/>
        </w:tabs>
        <w:kinsoku/>
        <w:wordWrap/>
        <w:overflowPunct/>
        <w:topLinePunct w:val="0"/>
        <w:autoSpaceDE w:val="0"/>
        <w:autoSpaceDN w:val="0"/>
        <w:bidi w:val="0"/>
        <w:adjustRightInd/>
        <w:snapToGrid/>
        <w:spacing w:before="71"/>
        <w:ind w:left="5851"/>
        <w:textAlignment w:val="auto"/>
        <w:outlineLvl w:val="9"/>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keepNext w:val="0"/>
        <w:keepLines w:val="0"/>
        <w:pageBreakBefore w:val="0"/>
        <w:widowControl w:val="0"/>
        <w:kinsoku/>
        <w:wordWrap/>
        <w:overflowPunct/>
        <w:topLinePunct w:val="0"/>
        <w:autoSpaceDE w:val="0"/>
        <w:autoSpaceDN w:val="0"/>
        <w:bidi w:val="0"/>
        <w:adjustRightInd/>
        <w:snapToGrid/>
        <w:spacing w:after="0"/>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spacing w:before="29" w:line="240" w:lineRule="auto"/>
        <w:ind w:left="399" w:right="418"/>
        <w:jc w:val="center"/>
        <w:textAlignment w:val="auto"/>
        <w:outlineLvl w:val="9"/>
        <w:rPr>
          <w:rFonts w:hint="eastAsia" w:ascii="宋体" w:hAnsi="宋体" w:eastAsia="宋体" w:cs="宋体"/>
        </w:rPr>
      </w:pPr>
      <w:bookmarkStart w:id="1312" w:name="_bookmark15"/>
      <w:bookmarkEnd w:id="1312"/>
      <w:bookmarkStart w:id="1313" w:name="_Toc19830"/>
      <w:bookmarkStart w:id="1314" w:name="_Toc7556"/>
      <w:bookmarkStart w:id="1315" w:name="_Toc26333"/>
      <w:r>
        <w:rPr>
          <w:rFonts w:hint="eastAsia" w:ascii="宋体" w:hAnsi="宋体" w:eastAsia="宋体" w:cs="宋体"/>
        </w:rPr>
        <w:t>三、投标保证金</w:t>
      </w:r>
      <w:bookmarkEnd w:id="1313"/>
      <w:bookmarkEnd w:id="1314"/>
      <w:bookmarkEnd w:id="1315"/>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11"/>
        <w:keepNext w:val="0"/>
        <w:keepLines w:val="0"/>
        <w:pageBreakBefore w:val="0"/>
        <w:widowControl w:val="0"/>
        <w:kinsoku/>
        <w:wordWrap/>
        <w:overflowPunct/>
        <w:topLinePunct w:val="0"/>
        <w:autoSpaceDE w:val="0"/>
        <w:autoSpaceDN w:val="0"/>
        <w:bidi w:val="0"/>
        <w:adjustRightInd/>
        <w:snapToGrid/>
        <w:spacing w:before="11"/>
        <w:textAlignment w:val="auto"/>
        <w:outlineLvl w:val="9"/>
        <w:rPr>
          <w:rFonts w:hint="eastAsia" w:ascii="宋体" w:hAnsi="宋体" w:eastAsia="宋体" w:cs="宋体"/>
          <w:b/>
        </w:rPr>
      </w:pPr>
      <w:r>
        <w:rPr>
          <w:rFonts w:hint="eastAsia" w:ascii="宋体" w:hAnsi="宋体" w:eastAsia="宋体" w:cs="宋体"/>
        </w:rPr>
        <mc:AlternateContent>
          <mc:Choice Requires="wps">
            <w:drawing>
              <wp:anchor distT="0" distB="0" distL="0" distR="0" simplePos="0" relativeHeight="251661312" behindDoc="1" locked="0" layoutInCell="1" allowOverlap="1">
                <wp:simplePos x="0" y="0"/>
                <wp:positionH relativeFrom="page">
                  <wp:posOffset>1176655</wp:posOffset>
                </wp:positionH>
                <wp:positionV relativeFrom="paragraph">
                  <wp:posOffset>287020</wp:posOffset>
                </wp:positionV>
                <wp:extent cx="5029200" cy="2080260"/>
                <wp:effectExtent l="9525" t="9525" r="9525" b="24765"/>
                <wp:wrapTopAndBottom/>
                <wp:docPr id="43" name="文本框 43"/>
                <wp:cNvGraphicFramePr/>
                <a:graphic xmlns:a="http://schemas.openxmlformats.org/drawingml/2006/main">
                  <a:graphicData uri="http://schemas.microsoft.com/office/word/2010/wordprocessingShape">
                    <wps:wsp>
                      <wps:cNvSpPr txBox="1"/>
                      <wps:spPr>
                        <a:xfrm>
                          <a:off x="0" y="0"/>
                          <a:ext cx="5029200" cy="2080260"/>
                        </a:xfrm>
                        <a:prstGeom prst="rect">
                          <a:avLst/>
                        </a:prstGeom>
                        <a:noFill/>
                        <a:ln w="19050" cap="flat" cmpd="sng">
                          <a:solidFill>
                            <a:srgbClr val="000000"/>
                          </a:solidFill>
                          <a:prstDash val="solid"/>
                          <a:miter/>
                          <a:headEnd type="none" w="med" len="med"/>
                          <a:tailEnd type="none" w="med" len="med"/>
                        </a:ln>
                      </wps:spPr>
                      <wps:txbx>
                        <w:txbxContent>
                          <w:p>
                            <w:pPr>
                              <w:pStyle w:val="11"/>
                              <w:spacing w:before="2"/>
                              <w:rPr>
                                <w:rFonts w:ascii="Microsoft JhengHei"/>
                                <w:b/>
                                <w:sz w:val="34"/>
                              </w:rPr>
                            </w:pPr>
                          </w:p>
                          <w:p>
                            <w:pPr>
                              <w:spacing w:before="0"/>
                              <w:ind w:left="2245" w:right="2245" w:firstLine="0"/>
                              <w:jc w:val="center"/>
                              <w:rPr>
                                <w:rFonts w:hint="eastAsia" w:ascii="Microsoft JhengHei" w:eastAsia="Microsoft JhengHei"/>
                                <w:b/>
                                <w:sz w:val="28"/>
                              </w:rPr>
                            </w:pPr>
                            <w:r>
                              <w:rPr>
                                <w:rFonts w:hint="eastAsia" w:ascii="Microsoft JhengHei" w:eastAsia="Microsoft JhengHei"/>
                                <w:b/>
                                <w:sz w:val="28"/>
                              </w:rPr>
                              <w:t>投标保证金交纳凭证复印件</w:t>
                            </w:r>
                          </w:p>
                        </w:txbxContent>
                      </wps:txbx>
                      <wps:bodyPr lIns="0" tIns="0" rIns="0" bIns="0" upright="1"/>
                    </wps:wsp>
                  </a:graphicData>
                </a:graphic>
              </wp:anchor>
            </w:drawing>
          </mc:Choice>
          <mc:Fallback>
            <w:pict>
              <v:shape id="_x0000_s1026" o:spid="_x0000_s1026" o:spt="202" type="#_x0000_t202" style="position:absolute;left:0pt;margin-left:92.65pt;margin-top:22.6pt;height:163.8pt;width:396pt;mso-position-horizontal-relative:page;mso-wrap-distance-bottom:0pt;mso-wrap-distance-top:0pt;z-index:-251655168;mso-width-relative:page;mso-height-relative:page;" filled="f" stroked="t" coordsize="21600,21600" o:gfxdata="UEsDBAoAAAAAAIdO4kAAAAAAAAAAAAAAAAAEAAAAZHJzL1BLAwQUAAAACACHTuJAf6eOBtgAAAAK&#10;AQAADwAAAGRycy9kb3ducmV2LnhtbE2Py07DMBBF90j8gzVI7KjTPEiaxukCKYgNixY+wImHJG08&#10;jmL3wd8zrGB5Z47unKl2NzuJCy5+dKRgvYpAIHXOjNQr+PxongoQPmgyenKECr7Rw66+v6t0adyV&#10;9ng5hF5wCflSKxhCmEspfTeg1X7lZiTefbnF6sBx6aVZ9JXL7STjKHqWVo/EFwY948uA3elwtgpe&#10;j+0+GpM03TRdktn3Y2pM86bU48M62oIIeAt/MPzqszrU7NS6MxkvJs5FljCqIM1iEAxs8pwHrYIk&#10;jwuQdSX/v1D/AFBLAwQUAAAACACHTuJAm/H0jRYCAAA1BAAADgAAAGRycy9lMm9Eb2MueG1srVPN&#10;jtMwEL4j8Q6W7zTZwq52o6YrQVmEhABp4QFcx0ks+U+226QvAG/AiQt3nqvPsZ+dtgvLpQdySCYz&#10;42/m+2a8uB21Ilvhg7SmphezkhJhuG2k6Wr69cvdi2tKQmSmYcoaUdOdCPR2+fzZYnCVmNveqkZ4&#10;AhATqsHVtI/RVUUReC80CzPrhEGwtV6ziF/fFY1nA9C1KuZleVUM1jfOWy5CgHc1BekB0Z8DaNtW&#10;crGyfKOFiROqF4pFUAq9dIEuc7dtK3j81LZBRKJqCqYxv1EE9jq9i+WCVZ1nrpf80AI7p4UnnDST&#10;BkVPUCsWGdl4+Q+UltzbYNs441YXE5GsCFhclE+0ue+ZE5kLpA7uJHr4f7D84/azJ7Kp6auXlBim&#10;MfH9j+/7n7/3v74R+CDQ4EKFvHuHzDi+tiPW5ugPcCbeY+t1+oIRQRzy7k7yijESDudlOb/BBlDC&#10;EZuX1+X8Kg+geDzufIjvhNUkGTX1mF+WlW0/hIhWkHpMSdWMvZNK5RkqQwb0dVNepgIMi9liIWBq&#10;B3LBdBknWCWbdCadDr5bv1GebFlajvwkWqjxV1oquGKhn/JyaFobLaPwuXgvWPPWNCTuHPQzuDc0&#10;daNFQ4kSuGbJypmRSXVOJppQBr0k7SeNkxXH9QiYZK5ts8M81HuDbQDleDT80VgfjY3zsushZ55a&#10;hsQ2ZaKHzU/r+ud/Lvx425c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6eOBtgAAAAKAQAADwAA&#10;AAAAAAABACAAAAAiAAAAZHJzL2Rvd25yZXYueG1sUEsBAhQAFAAAAAgAh07iQJvx9I0WAgAANQQA&#10;AA4AAAAAAAAAAQAgAAAAJwEAAGRycy9lMm9Eb2MueG1sUEsFBgAAAAAGAAYAWQEAAK8FAAAAAA==&#10;">
                <v:fill on="f" focussize="0,0"/>
                <v:stroke weight="1.5pt" color="#000000" joinstyle="miter"/>
                <v:imagedata o:title=""/>
                <o:lock v:ext="edit" aspectratio="f"/>
                <v:textbox inset="0mm,0mm,0mm,0mm">
                  <w:txbxContent>
                    <w:p>
                      <w:pPr>
                        <w:pStyle w:val="11"/>
                        <w:spacing w:before="2"/>
                        <w:rPr>
                          <w:rFonts w:ascii="Microsoft JhengHei"/>
                          <w:b/>
                          <w:sz w:val="34"/>
                        </w:rPr>
                      </w:pPr>
                    </w:p>
                    <w:p>
                      <w:pPr>
                        <w:spacing w:before="0"/>
                        <w:ind w:left="2245" w:right="2245" w:firstLine="0"/>
                        <w:jc w:val="center"/>
                        <w:rPr>
                          <w:rFonts w:hint="eastAsia" w:ascii="Microsoft JhengHei" w:eastAsia="Microsoft JhengHei"/>
                          <w:b/>
                          <w:sz w:val="28"/>
                        </w:rPr>
                      </w:pPr>
                      <w:r>
                        <w:rPr>
                          <w:rFonts w:hint="eastAsia" w:ascii="Microsoft JhengHei" w:eastAsia="Microsoft JhengHei"/>
                          <w:b/>
                          <w:sz w:val="28"/>
                        </w:rPr>
                        <w:t>投标保证金交纳凭证复印件</w:t>
                      </w:r>
                    </w:p>
                  </w:txbxContent>
                </v:textbox>
                <w10:wrap type="topAndBottom"/>
              </v:shape>
            </w:pict>
          </mc:Fallback>
        </mc:AlternateConten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11"/>
        <w:keepNext w:val="0"/>
        <w:keepLines w:val="0"/>
        <w:pageBreakBefore w:val="0"/>
        <w:widowControl w:val="0"/>
        <w:kinsoku/>
        <w:wordWrap/>
        <w:overflowPunct/>
        <w:topLinePunct w:val="0"/>
        <w:autoSpaceDE w:val="0"/>
        <w:autoSpaceDN w:val="0"/>
        <w:bidi w:val="0"/>
        <w:adjustRightInd/>
        <w:snapToGrid/>
        <w:spacing w:before="8"/>
        <w:textAlignment w:val="auto"/>
        <w:outlineLvl w:val="9"/>
        <w:rPr>
          <w:rFonts w:hint="eastAsia" w:ascii="宋体" w:hAnsi="宋体" w:eastAsia="宋体" w:cs="宋体"/>
          <w:b/>
          <w:sz w:val="25"/>
        </w:rPr>
      </w:pPr>
      <w:r>
        <w:rPr>
          <w:rFonts w:hint="eastAsia" w:ascii="宋体" w:hAnsi="宋体" w:eastAsia="宋体" w:cs="宋体"/>
        </w:rPr>
        <mc:AlternateContent>
          <mc:Choice Requires="wps">
            <w:drawing>
              <wp:anchor distT="0" distB="0" distL="0" distR="0" simplePos="0" relativeHeight="251662336" behindDoc="1" locked="0" layoutInCell="1" allowOverlap="1">
                <wp:simplePos x="0" y="0"/>
                <wp:positionH relativeFrom="page">
                  <wp:posOffset>1236980</wp:posOffset>
                </wp:positionH>
                <wp:positionV relativeFrom="paragraph">
                  <wp:posOffset>331470</wp:posOffset>
                </wp:positionV>
                <wp:extent cx="5029200" cy="2080260"/>
                <wp:effectExtent l="9525" t="9525" r="9525" b="24765"/>
                <wp:wrapTopAndBottom/>
                <wp:docPr id="44" name="文本框 44"/>
                <wp:cNvGraphicFramePr/>
                <a:graphic xmlns:a="http://schemas.openxmlformats.org/drawingml/2006/main">
                  <a:graphicData uri="http://schemas.microsoft.com/office/word/2010/wordprocessingShape">
                    <wps:wsp>
                      <wps:cNvSpPr txBox="1"/>
                      <wps:spPr>
                        <a:xfrm>
                          <a:off x="0" y="0"/>
                          <a:ext cx="5029200" cy="2080260"/>
                        </a:xfrm>
                        <a:prstGeom prst="rect">
                          <a:avLst/>
                        </a:prstGeom>
                        <a:noFill/>
                        <a:ln w="19050" cap="flat" cmpd="sng">
                          <a:solidFill>
                            <a:srgbClr val="000000"/>
                          </a:solidFill>
                          <a:prstDash val="solid"/>
                          <a:miter/>
                          <a:headEnd type="none" w="med" len="med"/>
                          <a:tailEnd type="none" w="med" len="med"/>
                        </a:ln>
                      </wps:spPr>
                      <wps:txbx>
                        <w:txbxContent>
                          <w:p>
                            <w:pPr>
                              <w:pStyle w:val="11"/>
                              <w:spacing w:before="2"/>
                              <w:rPr>
                                <w:rFonts w:ascii="Microsoft JhengHei"/>
                                <w:b/>
                                <w:sz w:val="34"/>
                              </w:rPr>
                            </w:pPr>
                          </w:p>
                          <w:p>
                            <w:pPr>
                              <w:spacing w:before="0"/>
                              <w:ind w:left="2245" w:right="2245" w:firstLine="0"/>
                              <w:jc w:val="center"/>
                              <w:rPr>
                                <w:rFonts w:hint="eastAsia" w:ascii="Microsoft JhengHei" w:eastAsia="Microsoft JhengHei"/>
                                <w:b/>
                                <w:sz w:val="28"/>
                              </w:rPr>
                            </w:pPr>
                            <w:r>
                              <w:rPr>
                                <w:rFonts w:hint="eastAsia" w:ascii="Microsoft JhengHei" w:eastAsia="Microsoft JhengHei"/>
                                <w:b/>
                                <w:sz w:val="28"/>
                              </w:rPr>
                              <w:t>开户许可证复印件</w:t>
                            </w:r>
                          </w:p>
                        </w:txbxContent>
                      </wps:txbx>
                      <wps:bodyPr lIns="0" tIns="0" rIns="0" bIns="0" upright="1"/>
                    </wps:wsp>
                  </a:graphicData>
                </a:graphic>
              </wp:anchor>
            </w:drawing>
          </mc:Choice>
          <mc:Fallback>
            <w:pict>
              <v:shape id="_x0000_s1026" o:spid="_x0000_s1026" o:spt="202" type="#_x0000_t202" style="position:absolute;left:0pt;margin-left:97.4pt;margin-top:26.1pt;height:163.8pt;width:396pt;mso-position-horizontal-relative:page;mso-wrap-distance-bottom:0pt;mso-wrap-distance-top:0pt;z-index:-251654144;mso-width-relative:page;mso-height-relative:page;" filled="f" stroked="t" coordsize="21600,21600" o:gfxdata="UEsDBAoAAAAAAIdO4kAAAAAAAAAAAAAAAAAEAAAAZHJzL1BLAwQUAAAACACHTuJAlPSSuNgAAAAK&#10;AQAADwAAAGRycy9kb3ducmV2LnhtbE2PzU7DMBCE70i8g7VI3KjdJC1JiNMDUhAXDi08gBMvSUq8&#10;jmL3h7dnOcFxdkYz31a7q5vEGZcwetKwXikQSJ23I/UaPt6bhxxEiIasmTyhhm8MsKtvbypTWn+h&#10;PZ4PsRdcQqE0GoYY51LK0A3oTFj5GYm9T784E1kuvbSLuXC5m2Si1FY6MxIvDGbG5wG7r8PJaXg5&#10;tns1pllWNF26cW/HzNrmVev7u7V6AhHxGv/C8IvP6FAzU+tPZIOYWBcZo0cNmyQBwYEi3/Kh1ZA+&#10;FjnIupL/X6h/AFBLAwQUAAAACACHTuJAF9FSpRcCAAA1BAAADgAAAGRycy9lMm9Eb2MueG1srVPN&#10;jtMwEL4j8Q6W7zTZane1GzVdCcoiJARICw/gOk5iyX+y3SZ9AXgDTly481x9jv3stF1YLj2QQzKZ&#10;GX8z3zfjxd2oFdkKH6Q1Nb2YlZQIw20jTVfTr1/uX91QEiIzDVPWiJruRKB3y5cvFoOrxNz2VjXC&#10;E4CYUA2upn2MriqKwHuhWZhZJwyCrfWaRfz6rmg8G4CuVTEvy+tisL5x3nIRAryrKUgPiP4cQNu2&#10;kouV5RstTJxQvVAsglLopQt0mbttW8Hjp7YNIhJVUzCN+Y0isNfpXSwXrOo8c73khxbYOS0846SZ&#10;NCh6glqxyMjGy3+gtOTeBtvGGbe6mIhkRcDionymzUPPnMhcIHVwJ9HD/4PlH7efPZFNTS8vKTFM&#10;Y+L7H9/3P3/vf30j8EGgwYUKeQ8OmXF8bUeszdEf4Ey8x9br9AUjgjjk3Z3kFWMkHM6rcn6LDaCE&#10;IzYvb8r5dR5A8XTc+RDfCatJMmrqMb8sK9t+CBGtIPWYkqoZey+VyjNUhgzo67a8SgUYFrPFQsDU&#10;DuSC6TJOsEo26Uw6HXy3fqM82bK0HPlJtFDjr7RUcMVCP+Xl0LQ2Wkbhc/FesOataUjcOehncG9o&#10;6kaLhhIlcM2SlTMjk+qcTDShDHpJ2k8aJyuO6xEwyVzbZod5qPcG2wDK8Wj4o7E+GhvnZddDzjy1&#10;DIltykQPm5/W9c//XPjpti8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T0krjYAAAACgEAAA8A&#10;AAAAAAAAAQAgAAAAIgAAAGRycy9kb3ducmV2LnhtbFBLAQIUABQAAAAIAIdO4kAX0VKlFwIAADUE&#10;AAAOAAAAAAAAAAEAIAAAACcBAABkcnMvZTJvRG9jLnhtbFBLBQYAAAAABgAGAFkBAACwBQAAAAA=&#10;">
                <v:fill on="f" focussize="0,0"/>
                <v:stroke weight="1.5pt" color="#000000" joinstyle="miter"/>
                <v:imagedata o:title=""/>
                <o:lock v:ext="edit" aspectratio="f"/>
                <v:textbox inset="0mm,0mm,0mm,0mm">
                  <w:txbxContent>
                    <w:p>
                      <w:pPr>
                        <w:pStyle w:val="11"/>
                        <w:spacing w:before="2"/>
                        <w:rPr>
                          <w:rFonts w:ascii="Microsoft JhengHei"/>
                          <w:b/>
                          <w:sz w:val="34"/>
                        </w:rPr>
                      </w:pPr>
                    </w:p>
                    <w:p>
                      <w:pPr>
                        <w:spacing w:before="0"/>
                        <w:ind w:left="2245" w:right="2245" w:firstLine="0"/>
                        <w:jc w:val="center"/>
                        <w:rPr>
                          <w:rFonts w:hint="eastAsia" w:ascii="Microsoft JhengHei" w:eastAsia="Microsoft JhengHei"/>
                          <w:b/>
                          <w:sz w:val="28"/>
                        </w:rPr>
                      </w:pPr>
                      <w:r>
                        <w:rPr>
                          <w:rFonts w:hint="eastAsia" w:ascii="Microsoft JhengHei" w:eastAsia="Microsoft JhengHei"/>
                          <w:b/>
                          <w:sz w:val="28"/>
                        </w:rPr>
                        <w:t>开户许可证复印件</w:t>
                      </w:r>
                    </w:p>
                  </w:txbxContent>
                </v:textbox>
                <w10:wrap type="topAndBottom"/>
              </v:shape>
            </w:pict>
          </mc:Fallback>
        </mc:AlternateContent>
      </w:r>
    </w:p>
    <w:p>
      <w:pPr>
        <w:keepNext w:val="0"/>
        <w:keepLines w:val="0"/>
        <w:pageBreakBefore w:val="0"/>
        <w:widowControl w:val="0"/>
        <w:kinsoku/>
        <w:wordWrap/>
        <w:overflowPunct/>
        <w:topLinePunct w:val="0"/>
        <w:autoSpaceDE w:val="0"/>
        <w:autoSpaceDN w:val="0"/>
        <w:bidi w:val="0"/>
        <w:adjustRightInd/>
        <w:snapToGrid/>
        <w:spacing w:after="0"/>
        <w:textAlignment w:val="auto"/>
        <w:outlineLvl w:val="9"/>
        <w:rPr>
          <w:rFonts w:hint="eastAsia" w:ascii="宋体" w:hAnsi="宋体" w:eastAsia="宋体" w:cs="宋体"/>
          <w:sz w:val="25"/>
        </w:rPr>
        <w:sectPr>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spacing w:before="16"/>
        <w:textAlignment w:val="auto"/>
        <w:outlineLvl w:val="9"/>
        <w:rPr>
          <w:rFonts w:hint="eastAsia" w:ascii="宋体" w:hAnsi="宋体" w:eastAsia="宋体" w:cs="宋体"/>
          <w:b/>
          <w:sz w:val="10"/>
        </w:rPr>
      </w:pPr>
    </w:p>
    <w:p>
      <w:pPr>
        <w:keepNext w:val="0"/>
        <w:keepLines w:val="0"/>
        <w:pageBreakBefore w:val="0"/>
        <w:widowControl w:val="0"/>
        <w:kinsoku/>
        <w:wordWrap/>
        <w:overflowPunct/>
        <w:topLinePunct w:val="0"/>
        <w:autoSpaceDE w:val="0"/>
        <w:autoSpaceDN w:val="0"/>
        <w:bidi w:val="0"/>
        <w:adjustRightInd/>
        <w:snapToGrid/>
        <w:spacing w:line="538" w:lineRule="exact"/>
        <w:ind w:left="399" w:right="418"/>
        <w:jc w:val="center"/>
        <w:textAlignment w:val="auto"/>
        <w:outlineLvl w:val="9"/>
        <w:rPr>
          <w:rFonts w:hint="eastAsia" w:ascii="宋体" w:hAnsi="宋体" w:eastAsia="宋体" w:cs="宋体"/>
        </w:rPr>
      </w:pPr>
      <w:bookmarkStart w:id="1316" w:name="_bookmark16"/>
      <w:bookmarkEnd w:id="1316"/>
      <w:bookmarkStart w:id="1317" w:name="_Toc22805"/>
      <w:bookmarkStart w:id="1318" w:name="_Toc30522"/>
      <w:bookmarkStart w:id="1319" w:name="_Toc8815"/>
      <w:r>
        <w:rPr>
          <w:rFonts w:hint="eastAsia" w:ascii="宋体" w:hAnsi="宋体" w:eastAsia="宋体" w:cs="宋体"/>
        </w:rPr>
        <w:t>四、已标价工程量清单</w:t>
      </w:r>
      <w:bookmarkEnd w:id="1317"/>
      <w:bookmarkEnd w:id="1318"/>
      <w:bookmarkEnd w:id="1319"/>
    </w:p>
    <w:p>
      <w:pPr>
        <w:pStyle w:val="11"/>
        <w:keepNext w:val="0"/>
        <w:keepLines w:val="0"/>
        <w:pageBreakBefore w:val="0"/>
        <w:widowControl w:val="0"/>
        <w:kinsoku/>
        <w:wordWrap/>
        <w:overflowPunct/>
        <w:topLinePunct w:val="0"/>
        <w:autoSpaceDE w:val="0"/>
        <w:autoSpaceDN w:val="0"/>
        <w:bidi w:val="0"/>
        <w:adjustRightInd/>
        <w:snapToGrid/>
        <w:spacing w:before="5"/>
        <w:textAlignment w:val="auto"/>
        <w:outlineLvl w:val="9"/>
        <w:rPr>
          <w:rFonts w:hint="eastAsia" w:ascii="宋体" w:hAnsi="宋体" w:eastAsia="宋体" w:cs="宋体"/>
          <w:b/>
          <w:sz w:val="35"/>
        </w:rPr>
      </w:pPr>
    </w:p>
    <w:p>
      <w:pPr>
        <w:keepNext w:val="0"/>
        <w:keepLines w:val="0"/>
        <w:pageBreakBefore w:val="0"/>
        <w:widowControl w:val="0"/>
        <w:kinsoku/>
        <w:wordWrap/>
        <w:overflowPunct/>
        <w:topLinePunct w:val="0"/>
        <w:autoSpaceDE w:val="0"/>
        <w:autoSpaceDN w:val="0"/>
        <w:bidi w:val="0"/>
        <w:adjustRightInd/>
        <w:snapToGrid/>
        <w:spacing w:after="0" w:line="410" w:lineRule="auto"/>
        <w:jc w:val="both"/>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spacing w:before="7"/>
        <w:textAlignment w:val="auto"/>
        <w:outlineLvl w:val="9"/>
        <w:rPr>
          <w:rFonts w:hint="eastAsia" w:ascii="宋体" w:hAnsi="宋体" w:eastAsia="宋体" w:cs="宋体"/>
          <w:sz w:val="15"/>
        </w:rPr>
      </w:pPr>
    </w:p>
    <w:p>
      <w:pPr>
        <w:keepNext w:val="0"/>
        <w:keepLines w:val="0"/>
        <w:pageBreakBefore w:val="0"/>
        <w:widowControl w:val="0"/>
        <w:kinsoku/>
        <w:wordWrap/>
        <w:overflowPunct/>
        <w:topLinePunct w:val="0"/>
        <w:autoSpaceDE w:val="0"/>
        <w:autoSpaceDN w:val="0"/>
        <w:bidi w:val="0"/>
        <w:adjustRightInd/>
        <w:snapToGrid/>
        <w:spacing w:line="539" w:lineRule="exact"/>
        <w:ind w:left="399" w:right="418"/>
        <w:jc w:val="center"/>
        <w:textAlignment w:val="auto"/>
        <w:outlineLvl w:val="9"/>
        <w:rPr>
          <w:rFonts w:hint="eastAsia" w:ascii="宋体" w:hAnsi="宋体" w:eastAsia="宋体" w:cs="宋体"/>
        </w:rPr>
      </w:pPr>
      <w:bookmarkStart w:id="1320" w:name="_bookmark17"/>
      <w:bookmarkEnd w:id="1320"/>
      <w:bookmarkStart w:id="1321" w:name="_Toc6305"/>
      <w:bookmarkStart w:id="1322" w:name="_Toc27421"/>
      <w:bookmarkStart w:id="1323" w:name="_Toc10342"/>
      <w:r>
        <w:rPr>
          <w:rFonts w:hint="eastAsia" w:ascii="宋体" w:hAnsi="宋体" w:eastAsia="宋体" w:cs="宋体"/>
        </w:rPr>
        <w:t>五、施工组织设计</w:t>
      </w:r>
      <w:bookmarkEnd w:id="1321"/>
      <w:bookmarkEnd w:id="1322"/>
      <w:bookmarkEnd w:id="1323"/>
    </w:p>
    <w:p>
      <w:pPr>
        <w:pStyle w:val="11"/>
        <w:keepNext w:val="0"/>
        <w:keepLines w:val="0"/>
        <w:pageBreakBefore w:val="0"/>
        <w:widowControl w:val="0"/>
        <w:kinsoku/>
        <w:wordWrap/>
        <w:overflowPunct/>
        <w:topLinePunct w:val="0"/>
        <w:autoSpaceDE w:val="0"/>
        <w:autoSpaceDN w:val="0"/>
        <w:bidi w:val="0"/>
        <w:adjustRightInd/>
        <w:snapToGrid/>
        <w:spacing w:before="16"/>
        <w:textAlignment w:val="auto"/>
        <w:outlineLvl w:val="9"/>
        <w:rPr>
          <w:rFonts w:hint="eastAsia" w:ascii="宋体" w:hAnsi="宋体" w:eastAsia="宋体" w:cs="宋体"/>
          <w:b/>
          <w:sz w:val="26"/>
        </w:rPr>
      </w:pPr>
    </w:p>
    <w:p>
      <w:pPr>
        <w:pStyle w:val="11"/>
        <w:keepNext w:val="0"/>
        <w:keepLines w:val="0"/>
        <w:pageBreakBefore w:val="0"/>
        <w:widowControl w:val="0"/>
        <w:kinsoku/>
        <w:wordWrap/>
        <w:overflowPunct/>
        <w:topLinePunct w:val="0"/>
        <w:autoSpaceDE w:val="0"/>
        <w:autoSpaceDN w:val="0"/>
        <w:bidi w:val="0"/>
        <w:adjustRightInd/>
        <w:snapToGrid/>
        <w:spacing w:before="16"/>
        <w:jc w:val="center"/>
        <w:textAlignment w:val="auto"/>
        <w:outlineLvl w:val="9"/>
        <w:rPr>
          <w:rFonts w:hint="eastAsia" w:ascii="宋体" w:hAnsi="宋体" w:eastAsia="宋体" w:cs="宋体"/>
          <w:b/>
          <w:sz w:val="26"/>
        </w:rPr>
      </w:pPr>
      <w:r>
        <w:rPr>
          <w:rFonts w:hint="eastAsia" w:ascii="宋体" w:hAnsi="宋体" w:eastAsia="宋体" w:cs="宋体"/>
          <w:b/>
          <w:sz w:val="26"/>
        </w:rPr>
        <w:t>（格式自拟）</w:t>
      </w:r>
    </w:p>
    <w:p>
      <w:pPr>
        <w:pStyle w:val="11"/>
        <w:keepNext w:val="0"/>
        <w:keepLines w:val="0"/>
        <w:pageBreakBefore w:val="0"/>
        <w:widowControl w:val="0"/>
        <w:kinsoku/>
        <w:wordWrap/>
        <w:overflowPunct/>
        <w:topLinePunct w:val="0"/>
        <w:autoSpaceDE w:val="0"/>
        <w:autoSpaceDN w:val="0"/>
        <w:bidi w:val="0"/>
        <w:adjustRightInd/>
        <w:snapToGrid/>
        <w:spacing w:before="16"/>
        <w:textAlignment w:val="auto"/>
        <w:outlineLvl w:val="9"/>
        <w:rPr>
          <w:rFonts w:hint="eastAsia" w:ascii="宋体" w:hAnsi="宋体" w:eastAsia="宋体" w:cs="宋体"/>
          <w:b/>
          <w:sz w:val="26"/>
        </w:rPr>
      </w:pPr>
    </w:p>
    <w:p>
      <w:pPr>
        <w:pStyle w:val="11"/>
        <w:keepNext w:val="0"/>
        <w:keepLines w:val="0"/>
        <w:pageBreakBefore w:val="0"/>
        <w:widowControl w:val="0"/>
        <w:kinsoku/>
        <w:wordWrap/>
        <w:overflowPunct/>
        <w:topLinePunct w:val="0"/>
        <w:autoSpaceDE w:val="0"/>
        <w:autoSpaceDN w:val="0"/>
        <w:bidi w:val="0"/>
        <w:adjustRightInd/>
        <w:snapToGrid/>
        <w:spacing w:before="16"/>
        <w:textAlignment w:val="auto"/>
        <w:outlineLvl w:val="9"/>
        <w:rPr>
          <w:rFonts w:hint="eastAsia" w:ascii="宋体" w:hAnsi="宋体" w:eastAsia="宋体" w:cs="宋体"/>
          <w:b/>
          <w:sz w:val="26"/>
        </w:rPr>
      </w:pPr>
    </w:p>
    <w:p>
      <w:pPr>
        <w:keepNext w:val="0"/>
        <w:keepLines w:val="0"/>
        <w:widowControl w:val="0"/>
        <w:kinsoku/>
        <w:overflowPunct/>
        <w:bidi w:val="0"/>
        <w:adjustRightInd/>
        <w:snapToGrid/>
        <w:textAlignment w:val="auto"/>
        <w:outlineLvl w:val="9"/>
        <w:rPr>
          <w:rFonts w:hint="eastAsia" w:ascii="宋体" w:hAnsi="宋体" w:eastAsia="宋体" w:cs="宋体"/>
          <w:szCs w:val="23"/>
        </w:rPr>
      </w:pPr>
      <w:bookmarkStart w:id="1324" w:name="_Toc386209792"/>
      <w:bookmarkStart w:id="1325" w:name="_Toc325553977"/>
      <w:bookmarkStart w:id="1326" w:name="_Toc330304956"/>
      <w:bookmarkStart w:id="1327" w:name="_Toc410982324"/>
      <w:bookmarkStart w:id="1328" w:name="_Toc4056098"/>
      <w:bookmarkStart w:id="1329" w:name="_Toc282707300"/>
      <w:bookmarkStart w:id="1330" w:name="_Toc15853"/>
      <w:r>
        <w:rPr>
          <w:rFonts w:hint="eastAsia" w:ascii="宋体" w:hAnsi="宋体" w:eastAsia="宋体" w:cs="宋体"/>
          <w:szCs w:val="23"/>
        </w:rPr>
        <w:br w:type="page"/>
      </w:r>
    </w:p>
    <w:p>
      <w:pPr>
        <w:pStyle w:val="33"/>
        <w:keepNext w:val="0"/>
        <w:keepLines w:val="0"/>
        <w:widowControl w:val="0"/>
        <w:kinsoku/>
        <w:overflowPunct/>
        <w:bidi w:val="0"/>
        <w:adjustRightInd/>
        <w:snapToGrid/>
        <w:jc w:val="left"/>
        <w:textAlignment w:val="auto"/>
        <w:outlineLvl w:val="9"/>
        <w:rPr>
          <w:rFonts w:hint="eastAsia" w:ascii="宋体" w:hAnsi="宋体" w:eastAsia="宋体" w:cs="宋体"/>
          <w:b/>
        </w:rPr>
      </w:pPr>
      <w:bookmarkStart w:id="1331" w:name="_Toc13659"/>
      <w:r>
        <w:rPr>
          <w:rFonts w:hint="eastAsia" w:ascii="宋体" w:hAnsi="宋体" w:eastAsia="宋体" w:cs="宋体"/>
          <w:szCs w:val="23"/>
        </w:rPr>
        <w:t>附表一：拟投入本工程的主要施工设备表</w:t>
      </w:r>
      <w:bookmarkEnd w:id="1324"/>
      <w:bookmarkEnd w:id="1325"/>
      <w:bookmarkEnd w:id="1326"/>
      <w:bookmarkEnd w:id="1327"/>
      <w:bookmarkEnd w:id="1328"/>
      <w:bookmarkEnd w:id="1329"/>
      <w:bookmarkEnd w:id="1330"/>
      <w:bookmarkEnd w:id="1331"/>
    </w:p>
    <w:tbl>
      <w:tblPr>
        <w:tblStyle w:val="18"/>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131"/>
        <w:gridCol w:w="714"/>
        <w:gridCol w:w="1086"/>
        <w:gridCol w:w="754"/>
        <w:gridCol w:w="754"/>
        <w:gridCol w:w="1250"/>
        <w:gridCol w:w="927"/>
        <w:gridCol w:w="92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序号</w:t>
            </w: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设备名称</w:t>
            </w: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型号</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规格</w:t>
            </w: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数  量</w:t>
            </w: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国别</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产地</w:t>
            </w: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制造</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年份</w:t>
            </w: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额定功率</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（KW）</w:t>
            </w: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生产</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能力</w:t>
            </w: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用于施</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工部位</w:t>
            </w: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2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81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bl>
    <w:p>
      <w:pPr>
        <w:keepNext w:val="0"/>
        <w:keepLines w:val="0"/>
        <w:widowControl w:val="0"/>
        <w:kinsoku/>
        <w:overflowPunct/>
        <w:bidi w:val="0"/>
        <w:adjustRightInd/>
        <w:snapToGrid/>
        <w:spacing w:line="420" w:lineRule="exact"/>
        <w:textAlignment w:val="auto"/>
        <w:outlineLvl w:val="9"/>
        <w:rPr>
          <w:rFonts w:hint="eastAsia" w:ascii="宋体" w:hAnsi="宋体" w:eastAsia="宋体" w:cs="宋体"/>
          <w:szCs w:val="21"/>
        </w:rPr>
      </w:pPr>
    </w:p>
    <w:p>
      <w:pPr>
        <w:keepNext w:val="0"/>
        <w:keepLines w:val="0"/>
        <w:widowControl w:val="0"/>
        <w:kinsoku/>
        <w:overflowPunct/>
        <w:bidi w:val="0"/>
        <w:adjustRightInd/>
        <w:snapToGrid/>
        <w:textAlignment w:val="auto"/>
        <w:outlineLvl w:val="9"/>
        <w:rPr>
          <w:rFonts w:hint="eastAsia" w:ascii="宋体" w:hAnsi="宋体" w:eastAsia="宋体" w:cs="宋体"/>
          <w:szCs w:val="23"/>
        </w:rPr>
      </w:pPr>
      <w:bookmarkStart w:id="1332" w:name="_Toc325553978"/>
      <w:bookmarkStart w:id="1333" w:name="_Toc4056099"/>
      <w:bookmarkStart w:id="1334" w:name="_Toc386209793"/>
      <w:bookmarkStart w:id="1335" w:name="_Toc330304957"/>
      <w:bookmarkStart w:id="1336" w:name="_Toc282707301"/>
      <w:bookmarkStart w:id="1337" w:name="_Toc24820"/>
      <w:bookmarkStart w:id="1338" w:name="_Toc410982325"/>
      <w:r>
        <w:rPr>
          <w:rFonts w:hint="eastAsia" w:ascii="宋体" w:hAnsi="宋体" w:eastAsia="宋体" w:cs="宋体"/>
          <w:szCs w:val="23"/>
        </w:rPr>
        <w:br w:type="page"/>
      </w:r>
    </w:p>
    <w:p>
      <w:pPr>
        <w:pStyle w:val="33"/>
        <w:keepNext w:val="0"/>
        <w:keepLines w:val="0"/>
        <w:widowControl w:val="0"/>
        <w:kinsoku/>
        <w:overflowPunct/>
        <w:bidi w:val="0"/>
        <w:adjustRightInd/>
        <w:snapToGrid/>
        <w:jc w:val="left"/>
        <w:textAlignment w:val="auto"/>
        <w:outlineLvl w:val="9"/>
        <w:rPr>
          <w:rFonts w:hint="eastAsia" w:ascii="宋体" w:hAnsi="宋体" w:eastAsia="宋体" w:cs="宋体"/>
          <w:szCs w:val="23"/>
        </w:rPr>
      </w:pPr>
      <w:bookmarkStart w:id="1339" w:name="_Toc11896"/>
      <w:r>
        <w:rPr>
          <w:rFonts w:hint="eastAsia" w:ascii="宋体" w:hAnsi="宋体" w:eastAsia="宋体" w:cs="宋体"/>
          <w:szCs w:val="23"/>
        </w:rPr>
        <w:t>附表二：拟配备本工程的试验和检测仪器设备表</w:t>
      </w:r>
      <w:bookmarkEnd w:id="1332"/>
      <w:bookmarkEnd w:id="1333"/>
      <w:bookmarkEnd w:id="1334"/>
      <w:bookmarkEnd w:id="1335"/>
      <w:bookmarkEnd w:id="1336"/>
      <w:bookmarkEnd w:id="1337"/>
      <w:bookmarkEnd w:id="1338"/>
      <w:bookmarkEnd w:id="1339"/>
    </w:p>
    <w:tbl>
      <w:tblPr>
        <w:tblStyle w:val="1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131"/>
        <w:gridCol w:w="714"/>
        <w:gridCol w:w="1086"/>
        <w:gridCol w:w="754"/>
        <w:gridCol w:w="754"/>
        <w:gridCol w:w="1250"/>
        <w:gridCol w:w="1763"/>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序号</w:t>
            </w: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仪器设备名称</w:t>
            </w: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型号</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规格</w:t>
            </w: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数  量</w:t>
            </w: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国别</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产地</w:t>
            </w: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制造</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年份</w:t>
            </w: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已使用台</w:t>
            </w:r>
          </w:p>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时    数</w:t>
            </w: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用  途</w:t>
            </w: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1"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1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086"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25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76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903"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bl>
    <w:p>
      <w:pPr>
        <w:keepNext w:val="0"/>
        <w:keepLines w:val="0"/>
        <w:widowControl w:val="0"/>
        <w:kinsoku/>
        <w:overflowPunct/>
        <w:bidi w:val="0"/>
        <w:adjustRightInd/>
        <w:snapToGrid/>
        <w:textAlignment w:val="auto"/>
        <w:outlineLvl w:val="9"/>
        <w:rPr>
          <w:rFonts w:hint="eastAsia" w:ascii="宋体" w:hAnsi="宋体" w:eastAsia="宋体" w:cs="宋体"/>
          <w:szCs w:val="23"/>
        </w:rPr>
      </w:pPr>
      <w:bookmarkStart w:id="1340" w:name="_Toc325553979"/>
      <w:bookmarkStart w:id="1341" w:name="_Toc386209794"/>
      <w:bookmarkStart w:id="1342" w:name="_Toc23083"/>
      <w:bookmarkStart w:id="1343" w:name="_Toc410982326"/>
      <w:bookmarkStart w:id="1344" w:name="_Toc4056100"/>
      <w:bookmarkStart w:id="1345" w:name="_Toc282707302"/>
      <w:bookmarkStart w:id="1346" w:name="_Toc330304958"/>
      <w:r>
        <w:rPr>
          <w:rFonts w:hint="eastAsia" w:ascii="宋体" w:hAnsi="宋体" w:eastAsia="宋体" w:cs="宋体"/>
          <w:szCs w:val="23"/>
        </w:rPr>
        <w:br w:type="page"/>
      </w:r>
    </w:p>
    <w:p>
      <w:pPr>
        <w:pStyle w:val="33"/>
        <w:keepNext w:val="0"/>
        <w:keepLines w:val="0"/>
        <w:widowControl w:val="0"/>
        <w:kinsoku/>
        <w:overflowPunct/>
        <w:bidi w:val="0"/>
        <w:adjustRightInd/>
        <w:snapToGrid/>
        <w:jc w:val="left"/>
        <w:textAlignment w:val="auto"/>
        <w:outlineLvl w:val="9"/>
        <w:rPr>
          <w:rFonts w:hint="eastAsia" w:ascii="宋体" w:hAnsi="宋体" w:eastAsia="宋体" w:cs="宋体"/>
          <w:szCs w:val="23"/>
        </w:rPr>
      </w:pPr>
      <w:bookmarkStart w:id="1347" w:name="_Toc18343"/>
      <w:r>
        <w:rPr>
          <w:rFonts w:hint="eastAsia" w:ascii="宋体" w:hAnsi="宋体" w:eastAsia="宋体" w:cs="宋体"/>
          <w:szCs w:val="23"/>
        </w:rPr>
        <w:t>附表三：劳动力计划表</w:t>
      </w:r>
      <w:bookmarkEnd w:id="1340"/>
      <w:bookmarkEnd w:id="1341"/>
      <w:bookmarkEnd w:id="1342"/>
      <w:bookmarkEnd w:id="1343"/>
      <w:bookmarkEnd w:id="1344"/>
      <w:bookmarkEnd w:id="1345"/>
      <w:bookmarkEnd w:id="1346"/>
      <w:bookmarkEnd w:id="1347"/>
    </w:p>
    <w:p>
      <w:pPr>
        <w:keepNext w:val="0"/>
        <w:keepLines w:val="0"/>
        <w:widowControl w:val="0"/>
        <w:kinsoku/>
        <w:wordWrap w:val="0"/>
        <w:overflowPunct/>
        <w:bidi w:val="0"/>
        <w:adjustRightInd/>
        <w:snapToGrid/>
        <w:spacing w:line="420" w:lineRule="exact"/>
        <w:jc w:val="right"/>
        <w:textAlignment w:val="auto"/>
        <w:outlineLvl w:val="9"/>
        <w:rPr>
          <w:rFonts w:hint="eastAsia" w:ascii="宋体" w:hAnsi="宋体" w:eastAsia="宋体" w:cs="宋体"/>
          <w:szCs w:val="21"/>
        </w:rPr>
      </w:pPr>
      <w:r>
        <w:rPr>
          <w:rFonts w:hint="eastAsia" w:ascii="宋体" w:hAnsi="宋体" w:eastAsia="宋体" w:cs="宋体"/>
          <w:szCs w:val="21"/>
        </w:rPr>
        <w:t>单位：人</w:t>
      </w:r>
    </w:p>
    <w:tbl>
      <w:tblPr>
        <w:tblStyle w:val="18"/>
        <w:tblW w:w="9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07"/>
        <w:gridCol w:w="1130"/>
        <w:gridCol w:w="1130"/>
        <w:gridCol w:w="1130"/>
        <w:gridCol w:w="1130"/>
        <w:gridCol w:w="1130"/>
        <w:gridCol w:w="1130"/>
      </w:tblGrid>
      <w:tr>
        <w:tblPrEx>
          <w:tblCellMar>
            <w:top w:w="0" w:type="dxa"/>
            <w:left w:w="108" w:type="dxa"/>
            <w:bottom w:w="0" w:type="dxa"/>
            <w:right w:w="108" w:type="dxa"/>
          </w:tblCellMar>
        </w:tblPrEx>
        <w:trPr>
          <w:trHeight w:val="622"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工种</w:t>
            </w:r>
          </w:p>
        </w:tc>
        <w:tc>
          <w:tcPr>
            <w:tcW w:w="8287" w:type="dxa"/>
            <w:gridSpan w:val="7"/>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r>
              <w:rPr>
                <w:rFonts w:hint="eastAsia" w:ascii="宋体" w:hAnsi="宋体" w:eastAsia="宋体"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4"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507"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c>
          <w:tcPr>
            <w:tcW w:w="1130" w:type="dxa"/>
            <w:vAlign w:val="center"/>
          </w:tcPr>
          <w:p>
            <w:pPr>
              <w:keepNext w:val="0"/>
              <w:keepLines w:val="0"/>
              <w:widowControl w:val="0"/>
              <w:kinsoku/>
              <w:overflowPunct/>
              <w:bidi w:val="0"/>
              <w:adjustRightInd/>
              <w:snapToGrid/>
              <w:jc w:val="center"/>
              <w:textAlignment w:val="auto"/>
              <w:outlineLvl w:val="9"/>
              <w:rPr>
                <w:rFonts w:hint="eastAsia" w:ascii="宋体" w:hAnsi="宋体" w:eastAsia="宋体" w:cs="宋体"/>
                <w:szCs w:val="21"/>
              </w:rPr>
            </w:pPr>
          </w:p>
        </w:tc>
      </w:tr>
    </w:tbl>
    <w:p>
      <w:pPr>
        <w:pStyle w:val="33"/>
        <w:keepNext w:val="0"/>
        <w:keepLines w:val="0"/>
        <w:pageBreakBefore/>
        <w:widowControl w:val="0"/>
        <w:kinsoku/>
        <w:overflowPunct/>
        <w:bidi w:val="0"/>
        <w:adjustRightInd/>
        <w:snapToGrid/>
        <w:jc w:val="left"/>
        <w:textAlignment w:val="auto"/>
        <w:outlineLvl w:val="9"/>
        <w:rPr>
          <w:rFonts w:hint="eastAsia" w:ascii="宋体" w:hAnsi="宋体" w:eastAsia="宋体" w:cs="宋体"/>
        </w:rPr>
      </w:pPr>
      <w:bookmarkStart w:id="1348" w:name="_Toc4056101"/>
      <w:bookmarkStart w:id="1349" w:name="_Toc282707303"/>
      <w:bookmarkStart w:id="1350" w:name="_Toc14606"/>
      <w:bookmarkStart w:id="1351" w:name="_Toc325553980"/>
      <w:bookmarkStart w:id="1352" w:name="_Toc23092"/>
      <w:bookmarkStart w:id="1353" w:name="_Toc386209795"/>
      <w:bookmarkStart w:id="1354" w:name="_Toc410982327"/>
      <w:bookmarkStart w:id="1355" w:name="_Toc330304959"/>
      <w:r>
        <w:rPr>
          <w:rFonts w:hint="eastAsia" w:ascii="宋体" w:hAnsi="宋体" w:eastAsia="宋体" w:cs="宋体"/>
          <w:szCs w:val="23"/>
        </w:rPr>
        <w:t>附表四：计划开、竣工日期和施工进度网络图</w:t>
      </w:r>
      <w:bookmarkEnd w:id="1348"/>
      <w:bookmarkEnd w:id="1349"/>
      <w:bookmarkEnd w:id="1350"/>
      <w:bookmarkEnd w:id="1351"/>
      <w:bookmarkEnd w:id="1352"/>
      <w:bookmarkEnd w:id="1353"/>
      <w:bookmarkEnd w:id="1354"/>
      <w:bookmarkEnd w:id="1355"/>
    </w:p>
    <w:p>
      <w:pPr>
        <w:keepNext w:val="0"/>
        <w:keepLines w:val="0"/>
        <w:widowControl w:val="0"/>
        <w:kinsoku/>
        <w:overflowPunct/>
        <w:bidi w:val="0"/>
        <w:adjustRightInd/>
        <w:snapToGrid/>
        <w:spacing w:line="420" w:lineRule="exact"/>
        <w:ind w:firstLine="440" w:firstLineChars="200"/>
        <w:textAlignment w:val="auto"/>
        <w:outlineLvl w:val="9"/>
        <w:rPr>
          <w:rFonts w:hint="eastAsia" w:ascii="宋体" w:hAnsi="宋体" w:eastAsia="宋体" w:cs="宋体"/>
          <w:szCs w:val="21"/>
        </w:rPr>
      </w:pPr>
      <w:r>
        <w:rPr>
          <w:rFonts w:hint="eastAsia" w:ascii="宋体" w:hAnsi="宋体" w:eastAsia="宋体" w:cs="宋体"/>
          <w:szCs w:val="21"/>
        </w:rPr>
        <w:t>1．投标人应递交施工进度网络图或施工进度表，说明按招标文件要求的计划工期进行施工的各个关键日期。</w:t>
      </w:r>
    </w:p>
    <w:p>
      <w:pPr>
        <w:keepNext w:val="0"/>
        <w:keepLines w:val="0"/>
        <w:widowControl w:val="0"/>
        <w:kinsoku/>
        <w:overflowPunct/>
        <w:bidi w:val="0"/>
        <w:adjustRightInd/>
        <w:snapToGrid/>
        <w:spacing w:line="420" w:lineRule="exact"/>
        <w:ind w:firstLine="440" w:firstLineChars="200"/>
        <w:textAlignment w:val="auto"/>
        <w:outlineLvl w:val="9"/>
        <w:rPr>
          <w:rFonts w:hint="eastAsia" w:ascii="宋体" w:hAnsi="宋体" w:eastAsia="宋体" w:cs="宋体"/>
          <w:szCs w:val="21"/>
        </w:rPr>
      </w:pPr>
      <w:r>
        <w:rPr>
          <w:rFonts w:hint="eastAsia" w:ascii="宋体" w:hAnsi="宋体" w:eastAsia="宋体" w:cs="宋体"/>
          <w:szCs w:val="21"/>
        </w:rPr>
        <w:t>2．施工进度表可采用网络图和（或）横道图表示。</w:t>
      </w:r>
    </w:p>
    <w:p>
      <w:pPr>
        <w:pStyle w:val="33"/>
        <w:keepNext w:val="0"/>
        <w:keepLines w:val="0"/>
        <w:pageBreakBefore/>
        <w:widowControl w:val="0"/>
        <w:kinsoku/>
        <w:overflowPunct/>
        <w:bidi w:val="0"/>
        <w:adjustRightInd/>
        <w:snapToGrid/>
        <w:jc w:val="left"/>
        <w:textAlignment w:val="auto"/>
        <w:outlineLvl w:val="9"/>
        <w:rPr>
          <w:rFonts w:hint="eastAsia" w:ascii="宋体" w:hAnsi="宋体" w:eastAsia="宋体" w:cs="宋体"/>
          <w:szCs w:val="23"/>
        </w:rPr>
      </w:pPr>
      <w:bookmarkStart w:id="1356" w:name="_Toc386209796"/>
      <w:bookmarkStart w:id="1357" w:name="_Toc1327"/>
      <w:bookmarkStart w:id="1358" w:name="_Toc410982328"/>
      <w:bookmarkStart w:id="1359" w:name="_Toc325553981"/>
      <w:bookmarkStart w:id="1360" w:name="_Toc4056102"/>
      <w:bookmarkStart w:id="1361" w:name="_Toc282707304"/>
      <w:bookmarkStart w:id="1362" w:name="_Toc10368"/>
      <w:bookmarkStart w:id="1363" w:name="_Toc330304960"/>
      <w:r>
        <w:rPr>
          <w:rFonts w:hint="eastAsia" w:ascii="宋体" w:hAnsi="宋体" w:eastAsia="宋体" w:cs="宋体"/>
          <w:szCs w:val="23"/>
        </w:rPr>
        <w:t>附表五：施工总平面图</w:t>
      </w:r>
      <w:bookmarkEnd w:id="1356"/>
      <w:bookmarkEnd w:id="1357"/>
      <w:bookmarkEnd w:id="1358"/>
      <w:bookmarkEnd w:id="1359"/>
      <w:bookmarkEnd w:id="1360"/>
      <w:bookmarkEnd w:id="1361"/>
      <w:bookmarkEnd w:id="1362"/>
      <w:bookmarkEnd w:id="1363"/>
    </w:p>
    <w:p>
      <w:pPr>
        <w:keepNext w:val="0"/>
        <w:keepLines w:val="0"/>
        <w:widowControl w:val="0"/>
        <w:kinsoku/>
        <w:overflowPunct/>
        <w:bidi w:val="0"/>
        <w:adjustRightInd/>
        <w:snapToGrid/>
        <w:spacing w:line="420" w:lineRule="exact"/>
        <w:ind w:firstLine="440" w:firstLineChars="200"/>
        <w:textAlignment w:val="auto"/>
        <w:outlineLvl w:val="9"/>
        <w:rPr>
          <w:rFonts w:hint="eastAsia" w:ascii="宋体" w:hAnsi="宋体" w:eastAsia="宋体" w:cs="宋体"/>
          <w:szCs w:val="21"/>
        </w:rPr>
      </w:pPr>
      <w:r>
        <w:rPr>
          <w:rFonts w:hint="eastAsia" w:ascii="宋体" w:hAnsi="宋体" w:eastAsia="宋体" w:cs="宋体"/>
          <w:szCs w:val="21"/>
        </w:rPr>
        <w:t>投标人应递交一份施工总平面图，绘出现场临时设施布置图表并附文字说明，说明临时设施、加工车间、现场办公、设备及仓储、供电、供水、卫生、生活、道路、消防等设施的情况和布置。</w:t>
      </w:r>
    </w:p>
    <w:p>
      <w:pPr>
        <w:keepNext w:val="0"/>
        <w:keepLines w:val="0"/>
        <w:pageBreakBefore w:val="0"/>
        <w:widowControl w:val="0"/>
        <w:kinsoku/>
        <w:wordWrap/>
        <w:overflowPunct/>
        <w:topLinePunct w:val="0"/>
        <w:autoSpaceDE w:val="0"/>
        <w:autoSpaceDN w:val="0"/>
        <w:bidi w:val="0"/>
        <w:adjustRightInd/>
        <w:snapToGrid/>
        <w:spacing w:after="0" w:line="240" w:lineRule="auto"/>
        <w:jc w:val="left"/>
        <w:textAlignment w:val="auto"/>
        <w:outlineLvl w:val="9"/>
        <w:rPr>
          <w:rFonts w:hint="eastAsia" w:ascii="宋体" w:hAnsi="宋体" w:eastAsia="宋体" w:cs="宋体"/>
          <w:sz w:val="21"/>
        </w:rPr>
        <w:sectPr>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spacing w:before="9"/>
        <w:textAlignment w:val="auto"/>
        <w:outlineLvl w:val="9"/>
        <w:rPr>
          <w:rFonts w:hint="eastAsia" w:ascii="宋体" w:hAnsi="宋体" w:eastAsia="宋体" w:cs="宋体"/>
          <w:sz w:val="27"/>
        </w:rPr>
      </w:pPr>
    </w:p>
    <w:p>
      <w:pPr>
        <w:keepNext w:val="0"/>
        <w:keepLines w:val="0"/>
        <w:pageBreakBefore w:val="0"/>
        <w:widowControl w:val="0"/>
        <w:kinsoku/>
        <w:wordWrap/>
        <w:overflowPunct/>
        <w:topLinePunct w:val="0"/>
        <w:autoSpaceDE w:val="0"/>
        <w:autoSpaceDN w:val="0"/>
        <w:bidi w:val="0"/>
        <w:adjustRightInd/>
        <w:snapToGrid/>
        <w:spacing w:line="538" w:lineRule="exact"/>
        <w:ind w:left="399" w:right="418"/>
        <w:jc w:val="center"/>
        <w:textAlignment w:val="auto"/>
        <w:outlineLvl w:val="9"/>
        <w:rPr>
          <w:rFonts w:hint="eastAsia" w:ascii="宋体" w:hAnsi="宋体" w:eastAsia="宋体" w:cs="宋体"/>
          <w:b/>
          <w:bCs/>
        </w:rPr>
      </w:pPr>
      <w:bookmarkStart w:id="1364" w:name="_bookmark18"/>
      <w:bookmarkEnd w:id="1364"/>
      <w:bookmarkStart w:id="1365" w:name="_Toc9610"/>
      <w:bookmarkStart w:id="1366" w:name="_Toc32687"/>
      <w:bookmarkStart w:id="1367" w:name="_Toc4486"/>
      <w:r>
        <w:rPr>
          <w:rFonts w:hint="eastAsia" w:ascii="宋体" w:hAnsi="宋体" w:eastAsia="宋体" w:cs="宋体"/>
          <w:b/>
          <w:bCs/>
        </w:rPr>
        <w:t>六、项目管理机构</w:t>
      </w:r>
      <w:bookmarkEnd w:id="1365"/>
      <w:bookmarkEnd w:id="1366"/>
      <w:bookmarkEnd w:id="1367"/>
    </w:p>
    <w:p>
      <w:pPr>
        <w:pStyle w:val="11"/>
        <w:keepNext w:val="0"/>
        <w:keepLines w:val="0"/>
        <w:pageBreakBefore w:val="0"/>
        <w:widowControl w:val="0"/>
        <w:kinsoku/>
        <w:wordWrap/>
        <w:overflowPunct/>
        <w:topLinePunct w:val="0"/>
        <w:autoSpaceDE w:val="0"/>
        <w:autoSpaceDN w:val="0"/>
        <w:bidi w:val="0"/>
        <w:adjustRightInd/>
        <w:snapToGrid/>
        <w:spacing w:before="6"/>
        <w:textAlignment w:val="auto"/>
        <w:outlineLvl w:val="9"/>
        <w:rPr>
          <w:rFonts w:hint="eastAsia" w:ascii="宋体" w:hAnsi="宋体" w:eastAsia="宋体" w:cs="宋体"/>
          <w:b/>
          <w:sz w:val="23"/>
        </w:rPr>
      </w:pPr>
    </w:p>
    <w:p>
      <w:pPr>
        <w:keepNext w:val="0"/>
        <w:keepLines w:val="0"/>
        <w:pageBreakBefore w:val="0"/>
        <w:widowControl w:val="0"/>
        <w:kinsoku/>
        <w:wordWrap/>
        <w:overflowPunct/>
        <w:topLinePunct w:val="0"/>
        <w:autoSpaceDE w:val="0"/>
        <w:autoSpaceDN w:val="0"/>
        <w:bidi w:val="0"/>
        <w:adjustRightInd/>
        <w:snapToGrid/>
        <w:spacing w:line="428" w:lineRule="exact"/>
        <w:textAlignment w:val="auto"/>
        <w:outlineLvl w:val="9"/>
        <w:rPr>
          <w:rFonts w:hint="eastAsia" w:ascii="宋体" w:hAnsi="宋体" w:eastAsia="宋体" w:cs="宋体"/>
        </w:rPr>
      </w:pPr>
      <w:r>
        <w:rPr>
          <w:rFonts w:hint="eastAsia" w:ascii="宋体" w:hAnsi="宋体" w:eastAsia="宋体" w:cs="宋体"/>
        </w:rPr>
        <w:t>（一）项目管理机构组成表</w:t>
      </w:r>
    </w:p>
    <w:p>
      <w:pPr>
        <w:pStyle w:val="11"/>
        <w:keepNext w:val="0"/>
        <w:keepLines w:val="0"/>
        <w:pageBreakBefore w:val="0"/>
        <w:widowControl w:val="0"/>
        <w:kinsoku/>
        <w:wordWrap/>
        <w:overflowPunct/>
        <w:topLinePunct w:val="0"/>
        <w:autoSpaceDE w:val="0"/>
        <w:autoSpaceDN w:val="0"/>
        <w:bidi w:val="0"/>
        <w:adjustRightInd/>
        <w:snapToGrid/>
        <w:spacing w:before="9"/>
        <w:textAlignment w:val="auto"/>
        <w:outlineLvl w:val="9"/>
        <w:rPr>
          <w:rFonts w:hint="eastAsia" w:ascii="宋体" w:hAnsi="宋体" w:eastAsia="宋体" w:cs="宋体"/>
          <w:b/>
          <w:sz w:val="5"/>
        </w:rPr>
      </w:pPr>
    </w:p>
    <w:tbl>
      <w:tblPr>
        <w:tblStyle w:val="18"/>
        <w:tblW w:w="8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709"/>
        <w:gridCol w:w="709"/>
        <w:gridCol w:w="1134"/>
        <w:gridCol w:w="771"/>
        <w:gridCol w:w="788"/>
        <w:gridCol w:w="850"/>
        <w:gridCol w:w="2127"/>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vMerge w:val="restart"/>
          </w:tcPr>
          <w:p>
            <w:pPr>
              <w:pStyle w:val="31"/>
              <w:keepNext w:val="0"/>
              <w:keepLines w:val="0"/>
              <w:pageBreakBefore w:val="0"/>
              <w:widowControl w:val="0"/>
              <w:kinsoku/>
              <w:wordWrap/>
              <w:overflowPunct/>
              <w:topLinePunct w:val="0"/>
              <w:autoSpaceDE w:val="0"/>
              <w:autoSpaceDN w:val="0"/>
              <w:bidi w:val="0"/>
              <w:adjustRightInd/>
              <w:snapToGrid/>
              <w:spacing w:before="13"/>
              <w:textAlignment w:val="auto"/>
              <w:outlineLvl w:val="9"/>
              <w:rPr>
                <w:rFonts w:hint="eastAsia" w:ascii="宋体" w:hAnsi="宋体" w:eastAsia="宋体" w:cs="宋体"/>
                <w:b/>
                <w:sz w:val="17"/>
              </w:rPr>
            </w:pPr>
          </w:p>
          <w:p>
            <w:pPr>
              <w:pStyle w:val="31"/>
              <w:keepNext w:val="0"/>
              <w:keepLines w:val="0"/>
              <w:pageBreakBefore w:val="0"/>
              <w:widowControl w:val="0"/>
              <w:kinsoku/>
              <w:wordWrap/>
              <w:overflowPunct/>
              <w:topLinePunct w:val="0"/>
              <w:autoSpaceDE w:val="0"/>
              <w:autoSpaceDN w:val="0"/>
              <w:bidi w:val="0"/>
              <w:adjustRightInd/>
              <w:snapToGrid/>
              <w:ind w:left="144"/>
              <w:textAlignment w:val="auto"/>
              <w:outlineLvl w:val="9"/>
              <w:rPr>
                <w:rFonts w:hint="eastAsia" w:ascii="宋体" w:hAnsi="宋体" w:eastAsia="宋体" w:cs="宋体"/>
                <w:sz w:val="21"/>
              </w:rPr>
            </w:pPr>
            <w:r>
              <w:rPr>
                <w:rFonts w:hint="eastAsia" w:ascii="宋体" w:hAnsi="宋体" w:eastAsia="宋体" w:cs="宋体"/>
                <w:sz w:val="21"/>
              </w:rPr>
              <w:t>职务</w:t>
            </w:r>
          </w:p>
        </w:tc>
        <w:tc>
          <w:tcPr>
            <w:tcW w:w="709" w:type="dxa"/>
            <w:vMerge w:val="restart"/>
          </w:tcPr>
          <w:p>
            <w:pPr>
              <w:pStyle w:val="31"/>
              <w:keepNext w:val="0"/>
              <w:keepLines w:val="0"/>
              <w:pageBreakBefore w:val="0"/>
              <w:widowControl w:val="0"/>
              <w:kinsoku/>
              <w:wordWrap/>
              <w:overflowPunct/>
              <w:topLinePunct w:val="0"/>
              <w:autoSpaceDE w:val="0"/>
              <w:autoSpaceDN w:val="0"/>
              <w:bidi w:val="0"/>
              <w:adjustRightInd/>
              <w:snapToGrid/>
              <w:spacing w:before="13"/>
              <w:textAlignment w:val="auto"/>
              <w:outlineLvl w:val="9"/>
              <w:rPr>
                <w:rFonts w:hint="eastAsia" w:ascii="宋体" w:hAnsi="宋体" w:eastAsia="宋体" w:cs="宋体"/>
                <w:b/>
                <w:sz w:val="17"/>
              </w:rPr>
            </w:pPr>
          </w:p>
          <w:p>
            <w:pPr>
              <w:pStyle w:val="31"/>
              <w:keepNext w:val="0"/>
              <w:keepLines w:val="0"/>
              <w:pageBreakBefore w:val="0"/>
              <w:widowControl w:val="0"/>
              <w:kinsoku/>
              <w:wordWrap/>
              <w:overflowPunct/>
              <w:topLinePunct w:val="0"/>
              <w:autoSpaceDE w:val="0"/>
              <w:autoSpaceDN w:val="0"/>
              <w:bidi w:val="0"/>
              <w:adjustRightInd/>
              <w:snapToGrid/>
              <w:ind w:left="144"/>
              <w:textAlignment w:val="auto"/>
              <w:outlineLvl w:val="9"/>
              <w:rPr>
                <w:rFonts w:hint="eastAsia" w:ascii="宋体" w:hAnsi="宋体" w:eastAsia="宋体" w:cs="宋体"/>
                <w:sz w:val="21"/>
              </w:rPr>
            </w:pPr>
            <w:r>
              <w:rPr>
                <w:rFonts w:hint="eastAsia" w:ascii="宋体" w:hAnsi="宋体" w:eastAsia="宋体" w:cs="宋体"/>
                <w:sz w:val="21"/>
              </w:rPr>
              <w:t>姓名</w:t>
            </w:r>
          </w:p>
        </w:tc>
        <w:tc>
          <w:tcPr>
            <w:tcW w:w="709" w:type="dxa"/>
            <w:vMerge w:val="restart"/>
          </w:tcPr>
          <w:p>
            <w:pPr>
              <w:pStyle w:val="31"/>
              <w:keepNext w:val="0"/>
              <w:keepLines w:val="0"/>
              <w:pageBreakBefore w:val="0"/>
              <w:widowControl w:val="0"/>
              <w:kinsoku/>
              <w:wordWrap/>
              <w:overflowPunct/>
              <w:topLinePunct w:val="0"/>
              <w:autoSpaceDE w:val="0"/>
              <w:autoSpaceDN w:val="0"/>
              <w:bidi w:val="0"/>
              <w:adjustRightInd/>
              <w:snapToGrid/>
              <w:spacing w:before="13"/>
              <w:textAlignment w:val="auto"/>
              <w:outlineLvl w:val="9"/>
              <w:rPr>
                <w:rFonts w:hint="eastAsia" w:ascii="宋体" w:hAnsi="宋体" w:eastAsia="宋体" w:cs="宋体"/>
                <w:b/>
                <w:sz w:val="17"/>
              </w:rPr>
            </w:pPr>
          </w:p>
          <w:p>
            <w:pPr>
              <w:pStyle w:val="31"/>
              <w:keepNext w:val="0"/>
              <w:keepLines w:val="0"/>
              <w:pageBreakBefore w:val="0"/>
              <w:widowControl w:val="0"/>
              <w:kinsoku/>
              <w:wordWrap/>
              <w:overflowPunct/>
              <w:topLinePunct w:val="0"/>
              <w:autoSpaceDE w:val="0"/>
              <w:autoSpaceDN w:val="0"/>
              <w:bidi w:val="0"/>
              <w:adjustRightInd/>
              <w:snapToGrid/>
              <w:ind w:left="144"/>
              <w:textAlignment w:val="auto"/>
              <w:outlineLvl w:val="9"/>
              <w:rPr>
                <w:rFonts w:hint="eastAsia" w:ascii="宋体" w:hAnsi="宋体" w:eastAsia="宋体" w:cs="宋体"/>
                <w:sz w:val="21"/>
              </w:rPr>
            </w:pPr>
            <w:r>
              <w:rPr>
                <w:rFonts w:hint="eastAsia" w:ascii="宋体" w:hAnsi="宋体" w:eastAsia="宋体" w:cs="宋体"/>
                <w:sz w:val="21"/>
              </w:rPr>
              <w:t>职称</w:t>
            </w:r>
          </w:p>
        </w:tc>
        <w:tc>
          <w:tcPr>
            <w:tcW w:w="5670" w:type="dxa"/>
            <w:gridSpan w:val="5"/>
          </w:tcPr>
          <w:p>
            <w:pPr>
              <w:pStyle w:val="31"/>
              <w:keepNext w:val="0"/>
              <w:keepLines w:val="0"/>
              <w:pageBreakBefore w:val="0"/>
              <w:widowControl w:val="0"/>
              <w:kinsoku/>
              <w:wordWrap/>
              <w:overflowPunct/>
              <w:topLinePunct w:val="0"/>
              <w:autoSpaceDE w:val="0"/>
              <w:autoSpaceDN w:val="0"/>
              <w:bidi w:val="0"/>
              <w:adjustRightInd/>
              <w:snapToGrid/>
              <w:spacing w:before="94"/>
              <w:ind w:left="1889"/>
              <w:textAlignment w:val="auto"/>
              <w:outlineLvl w:val="9"/>
              <w:rPr>
                <w:rFonts w:hint="eastAsia" w:ascii="宋体" w:hAnsi="宋体" w:eastAsia="宋体" w:cs="宋体"/>
                <w:sz w:val="21"/>
              </w:rPr>
            </w:pPr>
            <w:r>
              <w:rPr>
                <w:rFonts w:hint="eastAsia" w:ascii="宋体" w:hAnsi="宋体" w:eastAsia="宋体" w:cs="宋体"/>
                <w:sz w:val="21"/>
              </w:rPr>
              <w:t>执业或职业资格证明</w:t>
            </w:r>
          </w:p>
        </w:tc>
        <w:tc>
          <w:tcPr>
            <w:tcW w:w="708" w:type="dxa"/>
            <w:vMerge w:val="restart"/>
          </w:tcPr>
          <w:p>
            <w:pPr>
              <w:pStyle w:val="31"/>
              <w:keepNext w:val="0"/>
              <w:keepLines w:val="0"/>
              <w:pageBreakBefore w:val="0"/>
              <w:widowControl w:val="0"/>
              <w:kinsoku/>
              <w:wordWrap/>
              <w:overflowPunct/>
              <w:topLinePunct w:val="0"/>
              <w:autoSpaceDE w:val="0"/>
              <w:autoSpaceDN w:val="0"/>
              <w:bidi w:val="0"/>
              <w:adjustRightInd/>
              <w:snapToGrid/>
              <w:spacing w:before="13"/>
              <w:textAlignment w:val="auto"/>
              <w:outlineLvl w:val="9"/>
              <w:rPr>
                <w:rFonts w:hint="eastAsia" w:ascii="宋体" w:hAnsi="宋体" w:eastAsia="宋体" w:cs="宋体"/>
                <w:b/>
                <w:sz w:val="17"/>
              </w:rPr>
            </w:pPr>
          </w:p>
          <w:p>
            <w:pPr>
              <w:pStyle w:val="31"/>
              <w:keepNext w:val="0"/>
              <w:keepLines w:val="0"/>
              <w:pageBreakBefore w:val="0"/>
              <w:widowControl w:val="0"/>
              <w:kinsoku/>
              <w:wordWrap/>
              <w:overflowPunct/>
              <w:topLinePunct w:val="0"/>
              <w:autoSpaceDE w:val="0"/>
              <w:autoSpaceDN w:val="0"/>
              <w:bidi w:val="0"/>
              <w:adjustRightInd/>
              <w:snapToGrid/>
              <w:ind w:left="144"/>
              <w:textAlignment w:val="auto"/>
              <w:outlineLvl w:val="9"/>
              <w:rPr>
                <w:rFonts w:hint="eastAsia" w:ascii="宋体" w:hAnsi="宋体" w:eastAsia="宋体" w:cs="宋体"/>
                <w:sz w:val="21"/>
              </w:rPr>
            </w:pPr>
            <w:r>
              <w:rPr>
                <w:rFonts w:hint="eastAsia" w:ascii="宋体" w:hAnsi="宋体" w:eastAsia="宋体" w:cs="宋体"/>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
                <w:szCs w:val="2"/>
              </w:rPr>
            </w:pPr>
          </w:p>
        </w:tc>
        <w:tc>
          <w:tcPr>
            <w:tcW w:w="70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
                <w:szCs w:val="2"/>
              </w:rPr>
            </w:pPr>
          </w:p>
        </w:tc>
        <w:tc>
          <w:tcPr>
            <w:tcW w:w="70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
                <w:szCs w:val="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spacing w:before="94"/>
              <w:ind w:left="146"/>
              <w:textAlignment w:val="auto"/>
              <w:outlineLvl w:val="9"/>
              <w:rPr>
                <w:rFonts w:hint="eastAsia" w:ascii="宋体" w:hAnsi="宋体" w:eastAsia="宋体" w:cs="宋体"/>
                <w:sz w:val="21"/>
              </w:rPr>
            </w:pPr>
            <w:r>
              <w:rPr>
                <w:rFonts w:hint="eastAsia" w:ascii="宋体" w:hAnsi="宋体" w:eastAsia="宋体" w:cs="宋体"/>
                <w:sz w:val="21"/>
              </w:rPr>
              <w:t>证书名称</w:t>
            </w:r>
          </w:p>
        </w:tc>
        <w:tc>
          <w:tcPr>
            <w:tcW w:w="771" w:type="dxa"/>
          </w:tcPr>
          <w:p>
            <w:pPr>
              <w:pStyle w:val="31"/>
              <w:keepNext w:val="0"/>
              <w:keepLines w:val="0"/>
              <w:pageBreakBefore w:val="0"/>
              <w:widowControl w:val="0"/>
              <w:kinsoku/>
              <w:wordWrap/>
              <w:overflowPunct/>
              <w:topLinePunct w:val="0"/>
              <w:autoSpaceDE w:val="0"/>
              <w:autoSpaceDN w:val="0"/>
              <w:bidi w:val="0"/>
              <w:adjustRightInd/>
              <w:snapToGrid/>
              <w:spacing w:before="94"/>
              <w:ind w:left="175"/>
              <w:textAlignment w:val="auto"/>
              <w:outlineLvl w:val="9"/>
              <w:rPr>
                <w:rFonts w:hint="eastAsia" w:ascii="宋体" w:hAnsi="宋体" w:eastAsia="宋体" w:cs="宋体"/>
                <w:sz w:val="21"/>
              </w:rPr>
            </w:pPr>
            <w:r>
              <w:rPr>
                <w:rFonts w:hint="eastAsia" w:ascii="宋体" w:hAnsi="宋体" w:eastAsia="宋体" w:cs="宋体"/>
                <w:sz w:val="21"/>
              </w:rPr>
              <w:t>级别</w:t>
            </w:r>
          </w:p>
        </w:tc>
        <w:tc>
          <w:tcPr>
            <w:tcW w:w="788" w:type="dxa"/>
          </w:tcPr>
          <w:p>
            <w:pPr>
              <w:pStyle w:val="31"/>
              <w:keepNext w:val="0"/>
              <w:keepLines w:val="0"/>
              <w:pageBreakBefore w:val="0"/>
              <w:widowControl w:val="0"/>
              <w:kinsoku/>
              <w:wordWrap/>
              <w:overflowPunct/>
              <w:topLinePunct w:val="0"/>
              <w:autoSpaceDE w:val="0"/>
              <w:autoSpaceDN w:val="0"/>
              <w:bidi w:val="0"/>
              <w:adjustRightInd/>
              <w:snapToGrid/>
              <w:spacing w:before="94"/>
              <w:ind w:left="184"/>
              <w:textAlignment w:val="auto"/>
              <w:outlineLvl w:val="9"/>
              <w:rPr>
                <w:rFonts w:hint="eastAsia" w:ascii="宋体" w:hAnsi="宋体" w:eastAsia="宋体" w:cs="宋体"/>
                <w:sz w:val="21"/>
              </w:rPr>
            </w:pPr>
            <w:r>
              <w:rPr>
                <w:rFonts w:hint="eastAsia" w:ascii="宋体" w:hAnsi="宋体" w:eastAsia="宋体" w:cs="宋体"/>
                <w:sz w:val="21"/>
              </w:rPr>
              <w:t>证号</w:t>
            </w:r>
          </w:p>
        </w:tc>
        <w:tc>
          <w:tcPr>
            <w:tcW w:w="850" w:type="dxa"/>
          </w:tcPr>
          <w:p>
            <w:pPr>
              <w:pStyle w:val="31"/>
              <w:keepNext w:val="0"/>
              <w:keepLines w:val="0"/>
              <w:pageBreakBefore w:val="0"/>
              <w:widowControl w:val="0"/>
              <w:kinsoku/>
              <w:wordWrap/>
              <w:overflowPunct/>
              <w:topLinePunct w:val="0"/>
              <w:autoSpaceDE w:val="0"/>
              <w:autoSpaceDN w:val="0"/>
              <w:bidi w:val="0"/>
              <w:adjustRightInd/>
              <w:snapToGrid/>
              <w:spacing w:before="94"/>
              <w:ind w:left="215"/>
              <w:textAlignment w:val="auto"/>
              <w:outlineLvl w:val="9"/>
              <w:rPr>
                <w:rFonts w:hint="eastAsia" w:ascii="宋体" w:hAnsi="宋体" w:eastAsia="宋体" w:cs="宋体"/>
                <w:sz w:val="21"/>
              </w:rPr>
            </w:pPr>
            <w:r>
              <w:rPr>
                <w:rFonts w:hint="eastAsia" w:ascii="宋体" w:hAnsi="宋体" w:eastAsia="宋体" w:cs="宋体"/>
                <w:sz w:val="21"/>
              </w:rPr>
              <w:t>专业</w:t>
            </w:r>
          </w:p>
        </w:tc>
        <w:tc>
          <w:tcPr>
            <w:tcW w:w="2127" w:type="dxa"/>
          </w:tcPr>
          <w:p>
            <w:pPr>
              <w:pStyle w:val="31"/>
              <w:keepNext w:val="0"/>
              <w:keepLines w:val="0"/>
              <w:pageBreakBefore w:val="0"/>
              <w:widowControl w:val="0"/>
              <w:kinsoku/>
              <w:wordWrap/>
              <w:overflowPunct/>
              <w:topLinePunct w:val="0"/>
              <w:autoSpaceDE w:val="0"/>
              <w:autoSpaceDN w:val="0"/>
              <w:bidi w:val="0"/>
              <w:adjustRightInd/>
              <w:snapToGrid/>
              <w:spacing w:before="94"/>
              <w:ind w:left="643"/>
              <w:textAlignment w:val="auto"/>
              <w:outlineLvl w:val="9"/>
              <w:rPr>
                <w:rFonts w:hint="eastAsia" w:ascii="宋体" w:hAnsi="宋体" w:eastAsia="宋体" w:cs="宋体"/>
                <w:sz w:val="21"/>
              </w:rPr>
            </w:pPr>
            <w:r>
              <w:rPr>
                <w:rFonts w:hint="eastAsia" w:ascii="宋体" w:hAnsi="宋体" w:eastAsia="宋体" w:cs="宋体"/>
                <w:sz w:val="21"/>
              </w:rPr>
              <w:t>养老保险</w:t>
            </w:r>
          </w:p>
        </w:tc>
        <w:tc>
          <w:tcPr>
            <w:tcW w:w="70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113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7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8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85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2127"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c>
          <w:tcPr>
            <w:tcW w:w="708"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2"/>
              </w:rPr>
            </w:pPr>
          </w:p>
        </w:tc>
      </w:tr>
    </w:tbl>
    <w:p>
      <w:pPr>
        <w:keepNext w:val="0"/>
        <w:keepLines w:val="0"/>
        <w:pageBreakBefore w:val="0"/>
        <w:widowControl w:val="0"/>
        <w:kinsoku/>
        <w:wordWrap/>
        <w:overflowPunct/>
        <w:topLinePunct w:val="0"/>
        <w:autoSpaceDE w:val="0"/>
        <w:autoSpaceDN w:val="0"/>
        <w:bidi w:val="0"/>
        <w:adjustRightInd/>
        <w:snapToGrid/>
        <w:spacing w:after="0"/>
        <w:textAlignment w:val="auto"/>
        <w:outlineLvl w:val="9"/>
        <w:rPr>
          <w:rFonts w:hint="eastAsia" w:ascii="宋体" w:hAnsi="宋体" w:eastAsia="宋体" w:cs="宋体"/>
          <w:sz w:val="22"/>
        </w:rPr>
        <w:sectPr>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r>
        <w:rPr>
          <w:rFonts w:hint="eastAsia" w:ascii="宋体" w:hAnsi="宋体" w:eastAsia="宋体" w:cs="宋体"/>
        </w:rPr>
        <w:t>（二）主要人员简历表</w:t>
      </w:r>
    </w:p>
    <w:p>
      <w:pPr>
        <w:pStyle w:val="11"/>
        <w:keepNext w:val="0"/>
        <w:keepLines w:val="0"/>
        <w:pageBreakBefore w:val="0"/>
        <w:widowControl w:val="0"/>
        <w:kinsoku/>
        <w:wordWrap/>
        <w:overflowPunct/>
        <w:topLinePunct w:val="0"/>
        <w:autoSpaceDE w:val="0"/>
        <w:autoSpaceDN w:val="0"/>
        <w:bidi w:val="0"/>
        <w:adjustRightInd/>
        <w:snapToGrid/>
        <w:spacing w:before="6"/>
        <w:textAlignment w:val="auto"/>
        <w:outlineLvl w:val="9"/>
        <w:rPr>
          <w:rFonts w:hint="eastAsia" w:ascii="宋体" w:hAnsi="宋体" w:eastAsia="宋体" w:cs="宋体"/>
          <w:b/>
          <w:sz w:val="12"/>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附 1：项目经理简历表</w:t>
      </w: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3360" behindDoc="0" locked="0" layoutInCell="1" allowOverlap="1">
                <wp:simplePos x="0" y="0"/>
                <wp:positionH relativeFrom="page">
                  <wp:posOffset>1076960</wp:posOffset>
                </wp:positionH>
                <wp:positionV relativeFrom="paragraph">
                  <wp:posOffset>815340</wp:posOffset>
                </wp:positionV>
                <wp:extent cx="5410200" cy="6450330"/>
                <wp:effectExtent l="0" t="0" r="0" b="0"/>
                <wp:wrapTopAndBottom/>
                <wp:docPr id="45" name="文本框 45"/>
                <wp:cNvGraphicFramePr/>
                <a:graphic xmlns:a="http://schemas.openxmlformats.org/drawingml/2006/main">
                  <a:graphicData uri="http://schemas.microsoft.com/office/word/2010/wordprocessingShape">
                    <wps:wsp>
                      <wps:cNvSpPr txBox="1"/>
                      <wps:spPr>
                        <a:xfrm>
                          <a:off x="0" y="0"/>
                          <a:ext cx="5410200" cy="6450330"/>
                        </a:xfrm>
                        <a:prstGeom prst="rect">
                          <a:avLst/>
                        </a:prstGeom>
                        <a:noFill/>
                        <a:ln>
                          <a:noFill/>
                        </a:ln>
                      </wps:spPr>
                      <wps:txbx>
                        <w:txbxContent>
                          <w:tbl>
                            <w:tblPr>
                              <w:tblStyle w:val="18"/>
                              <w:tblW w:w="850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2"/>
                              <w:gridCol w:w="1035"/>
                              <w:gridCol w:w="1134"/>
                              <w:gridCol w:w="1275"/>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092" w:type="dxa"/>
                                </w:tcPr>
                                <w:p>
                                  <w:pPr>
                                    <w:pStyle w:val="31"/>
                                    <w:tabs>
                                      <w:tab w:val="left" w:pos="429"/>
                                    </w:tabs>
                                    <w:spacing w:before="94"/>
                                    <w:ind w:left="10"/>
                                    <w:jc w:val="center"/>
                                    <w:rPr>
                                      <w:sz w:val="21"/>
                                    </w:rPr>
                                  </w:pPr>
                                  <w:r>
                                    <w:rPr>
                                      <w:sz w:val="21"/>
                                    </w:rPr>
                                    <w:t>姓</w:t>
                                  </w:r>
                                  <w:r>
                                    <w:rPr>
                                      <w:sz w:val="21"/>
                                    </w:rPr>
                                    <w:tab/>
                                  </w:r>
                                  <w:r>
                                    <w:rPr>
                                      <w:sz w:val="21"/>
                                    </w:rPr>
                                    <w:t>名</w:t>
                                  </w:r>
                                </w:p>
                              </w:tc>
                              <w:tc>
                                <w:tcPr>
                                  <w:tcW w:w="1035" w:type="dxa"/>
                                </w:tcPr>
                                <w:p>
                                  <w:pPr>
                                    <w:pStyle w:val="31"/>
                                    <w:rPr>
                                      <w:rFonts w:ascii="Times New Roman"/>
                                      <w:sz w:val="20"/>
                                    </w:rPr>
                                  </w:pPr>
                                </w:p>
                              </w:tc>
                              <w:tc>
                                <w:tcPr>
                                  <w:tcW w:w="1134" w:type="dxa"/>
                                </w:tcPr>
                                <w:p>
                                  <w:pPr>
                                    <w:pStyle w:val="31"/>
                                    <w:tabs>
                                      <w:tab w:val="left" w:pos="429"/>
                                    </w:tabs>
                                    <w:spacing w:before="94"/>
                                    <w:ind w:left="9"/>
                                    <w:jc w:val="center"/>
                                    <w:rPr>
                                      <w:sz w:val="21"/>
                                    </w:rPr>
                                  </w:pPr>
                                  <w:r>
                                    <w:rPr>
                                      <w:sz w:val="21"/>
                                    </w:rPr>
                                    <w:t>年</w:t>
                                  </w:r>
                                  <w:r>
                                    <w:rPr>
                                      <w:sz w:val="21"/>
                                    </w:rPr>
                                    <w:tab/>
                                  </w:r>
                                  <w:r>
                                    <w:rPr>
                                      <w:sz w:val="21"/>
                                    </w:rPr>
                                    <w:t>龄</w:t>
                                  </w:r>
                                </w:p>
                              </w:tc>
                              <w:tc>
                                <w:tcPr>
                                  <w:tcW w:w="1275" w:type="dxa"/>
                                </w:tcPr>
                                <w:p>
                                  <w:pPr>
                                    <w:pStyle w:val="31"/>
                                    <w:rPr>
                                      <w:rFonts w:ascii="Times New Roman"/>
                                      <w:sz w:val="20"/>
                                    </w:rPr>
                                  </w:pPr>
                                </w:p>
                              </w:tc>
                              <w:tc>
                                <w:tcPr>
                                  <w:tcW w:w="1843" w:type="dxa"/>
                                </w:tcPr>
                                <w:p>
                                  <w:pPr>
                                    <w:pStyle w:val="31"/>
                                    <w:spacing w:before="94"/>
                                    <w:ind w:left="166" w:right="156"/>
                                    <w:jc w:val="center"/>
                                    <w:rPr>
                                      <w:sz w:val="21"/>
                                    </w:rPr>
                                  </w:pPr>
                                  <w:r>
                                    <w:rPr>
                                      <w:sz w:val="21"/>
                                    </w:rPr>
                                    <w:t>学历</w:t>
                                  </w: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092" w:type="dxa"/>
                                </w:tcPr>
                                <w:p>
                                  <w:pPr>
                                    <w:pStyle w:val="31"/>
                                    <w:tabs>
                                      <w:tab w:val="left" w:pos="429"/>
                                    </w:tabs>
                                    <w:spacing w:before="94"/>
                                    <w:ind w:left="10"/>
                                    <w:jc w:val="center"/>
                                    <w:rPr>
                                      <w:sz w:val="21"/>
                                    </w:rPr>
                                  </w:pPr>
                                  <w:r>
                                    <w:rPr>
                                      <w:sz w:val="21"/>
                                    </w:rPr>
                                    <w:t>职</w:t>
                                  </w:r>
                                  <w:r>
                                    <w:rPr>
                                      <w:sz w:val="21"/>
                                    </w:rPr>
                                    <w:tab/>
                                  </w:r>
                                  <w:r>
                                    <w:rPr>
                                      <w:sz w:val="21"/>
                                    </w:rPr>
                                    <w:t>称</w:t>
                                  </w:r>
                                </w:p>
                              </w:tc>
                              <w:tc>
                                <w:tcPr>
                                  <w:tcW w:w="1035" w:type="dxa"/>
                                </w:tcPr>
                                <w:p>
                                  <w:pPr>
                                    <w:pStyle w:val="31"/>
                                    <w:rPr>
                                      <w:rFonts w:ascii="Times New Roman"/>
                                      <w:sz w:val="20"/>
                                    </w:rPr>
                                  </w:pPr>
                                </w:p>
                              </w:tc>
                              <w:tc>
                                <w:tcPr>
                                  <w:tcW w:w="1134" w:type="dxa"/>
                                </w:tcPr>
                                <w:p>
                                  <w:pPr>
                                    <w:pStyle w:val="31"/>
                                    <w:tabs>
                                      <w:tab w:val="left" w:pos="429"/>
                                    </w:tabs>
                                    <w:spacing w:before="94"/>
                                    <w:ind w:left="9"/>
                                    <w:jc w:val="center"/>
                                    <w:rPr>
                                      <w:sz w:val="21"/>
                                    </w:rPr>
                                  </w:pPr>
                                  <w:r>
                                    <w:rPr>
                                      <w:sz w:val="21"/>
                                    </w:rPr>
                                    <w:t>职</w:t>
                                  </w:r>
                                  <w:r>
                                    <w:rPr>
                                      <w:sz w:val="21"/>
                                    </w:rPr>
                                    <w:tab/>
                                  </w:r>
                                  <w:r>
                                    <w:rPr>
                                      <w:sz w:val="21"/>
                                    </w:rPr>
                                    <w:t>务</w:t>
                                  </w:r>
                                </w:p>
                              </w:tc>
                              <w:tc>
                                <w:tcPr>
                                  <w:tcW w:w="1275" w:type="dxa"/>
                                </w:tcPr>
                                <w:p>
                                  <w:pPr>
                                    <w:pStyle w:val="31"/>
                                    <w:rPr>
                                      <w:rFonts w:ascii="Times New Roman"/>
                                      <w:sz w:val="20"/>
                                    </w:rPr>
                                  </w:pPr>
                                </w:p>
                              </w:tc>
                              <w:tc>
                                <w:tcPr>
                                  <w:tcW w:w="1843" w:type="dxa"/>
                                </w:tcPr>
                                <w:p>
                                  <w:pPr>
                                    <w:pStyle w:val="31"/>
                                    <w:spacing w:before="94"/>
                                    <w:ind w:left="166" w:right="156"/>
                                    <w:jc w:val="center"/>
                                    <w:rPr>
                                      <w:sz w:val="21"/>
                                    </w:rPr>
                                  </w:pPr>
                                  <w:r>
                                    <w:rPr>
                                      <w:sz w:val="21"/>
                                    </w:rPr>
                                    <w:t>拟在本工程任职</w:t>
                                  </w:r>
                                </w:p>
                              </w:tc>
                              <w:tc>
                                <w:tcPr>
                                  <w:tcW w:w="2126" w:type="dxa"/>
                                </w:tcPr>
                                <w:p>
                                  <w:pPr>
                                    <w:pStyle w:val="31"/>
                                    <w:spacing w:before="94"/>
                                    <w:ind w:left="203" w:right="193"/>
                                    <w:jc w:val="center"/>
                                    <w:rPr>
                                      <w:sz w:val="21"/>
                                    </w:rPr>
                                  </w:pPr>
                                  <w:r>
                                    <w:rPr>
                                      <w:sz w:val="21"/>
                                    </w:rPr>
                                    <w:t>项目经理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261" w:type="dxa"/>
                                  <w:gridSpan w:val="3"/>
                                </w:tcPr>
                                <w:p>
                                  <w:pPr>
                                    <w:pStyle w:val="31"/>
                                    <w:spacing w:before="94"/>
                                    <w:ind w:left="475"/>
                                    <w:rPr>
                                      <w:sz w:val="21"/>
                                    </w:rPr>
                                  </w:pPr>
                                  <w:r>
                                    <w:rPr>
                                      <w:sz w:val="21"/>
                                    </w:rPr>
                                    <w:t>注册建造师执业资格等级</w:t>
                                  </w:r>
                                </w:p>
                              </w:tc>
                              <w:tc>
                                <w:tcPr>
                                  <w:tcW w:w="1275" w:type="dxa"/>
                                </w:tcPr>
                                <w:p>
                                  <w:pPr>
                                    <w:pStyle w:val="31"/>
                                    <w:spacing w:before="94"/>
                                    <w:ind w:right="205"/>
                                    <w:jc w:val="right"/>
                                    <w:rPr>
                                      <w:sz w:val="21"/>
                                    </w:rPr>
                                  </w:pPr>
                                  <w:r>
                                    <w:rPr>
                                      <w:sz w:val="21"/>
                                    </w:rPr>
                                    <w:t>级</w:t>
                                  </w:r>
                                </w:p>
                              </w:tc>
                              <w:tc>
                                <w:tcPr>
                                  <w:tcW w:w="1843" w:type="dxa"/>
                                </w:tcPr>
                                <w:p>
                                  <w:pPr>
                                    <w:pStyle w:val="31"/>
                                    <w:spacing w:before="94"/>
                                    <w:ind w:left="166" w:right="156"/>
                                    <w:jc w:val="center"/>
                                    <w:rPr>
                                      <w:sz w:val="21"/>
                                    </w:rPr>
                                  </w:pPr>
                                  <w:r>
                                    <w:rPr>
                                      <w:sz w:val="21"/>
                                    </w:rPr>
                                    <w:t>建造师专业</w:t>
                                  </w: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261" w:type="dxa"/>
                                  <w:gridSpan w:val="3"/>
                                </w:tcPr>
                                <w:p>
                                  <w:pPr>
                                    <w:pStyle w:val="31"/>
                                    <w:spacing w:before="94"/>
                                    <w:ind w:left="580"/>
                                    <w:rPr>
                                      <w:sz w:val="21"/>
                                    </w:rPr>
                                  </w:pPr>
                                  <w:r>
                                    <w:rPr>
                                      <w:sz w:val="21"/>
                                    </w:rPr>
                                    <w:t>安全生产考核合格证书</w:t>
                                  </w:r>
                                </w:p>
                              </w:tc>
                              <w:tc>
                                <w:tcPr>
                                  <w:tcW w:w="5244" w:type="dxa"/>
                                  <w:gridSpan w:val="3"/>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092" w:type="dxa"/>
                                </w:tcPr>
                                <w:p>
                                  <w:pPr>
                                    <w:pStyle w:val="31"/>
                                    <w:spacing w:before="94"/>
                                    <w:ind w:left="10"/>
                                    <w:jc w:val="center"/>
                                    <w:rPr>
                                      <w:sz w:val="21"/>
                                    </w:rPr>
                                  </w:pPr>
                                  <w:r>
                                    <w:rPr>
                                      <w:sz w:val="21"/>
                                    </w:rPr>
                                    <w:t>毕业学校</w:t>
                                  </w:r>
                                </w:p>
                              </w:tc>
                              <w:tc>
                                <w:tcPr>
                                  <w:tcW w:w="7413" w:type="dxa"/>
                                  <w:gridSpan w:val="5"/>
                                </w:tcPr>
                                <w:p>
                                  <w:pPr>
                                    <w:pStyle w:val="31"/>
                                    <w:tabs>
                                      <w:tab w:val="left" w:pos="3677"/>
                                      <w:tab w:val="left" w:pos="5357"/>
                                    </w:tabs>
                                    <w:spacing w:before="94"/>
                                    <w:ind w:left="947"/>
                                    <w:rPr>
                                      <w:sz w:val="21"/>
                                    </w:rPr>
                                  </w:pPr>
                                  <w:r>
                                    <w:rPr>
                                      <w:sz w:val="21"/>
                                    </w:rPr>
                                    <w:t>年毕业于</w:t>
                                  </w:r>
                                  <w:r>
                                    <w:rPr>
                                      <w:sz w:val="21"/>
                                    </w:rPr>
                                    <w:tab/>
                                  </w:r>
                                  <w:r>
                                    <w:rPr>
                                      <w:sz w:val="21"/>
                                    </w:rPr>
                                    <w:t>学校</w:t>
                                  </w:r>
                                  <w:r>
                                    <w:rPr>
                                      <w:sz w:val="21"/>
                                    </w:rPr>
                                    <w:tab/>
                                  </w:r>
                                  <w:r>
                                    <w:rPr>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505" w:type="dxa"/>
                                  <w:gridSpan w:val="6"/>
                                </w:tcPr>
                                <w:p>
                                  <w:pPr>
                                    <w:pStyle w:val="31"/>
                                    <w:spacing w:before="94"/>
                                    <w:ind w:left="3602" w:right="3592"/>
                                    <w:jc w:val="center"/>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092" w:type="dxa"/>
                                </w:tcPr>
                                <w:p>
                                  <w:pPr>
                                    <w:pStyle w:val="31"/>
                                    <w:tabs>
                                      <w:tab w:val="left" w:pos="429"/>
                                    </w:tabs>
                                    <w:spacing w:before="94"/>
                                    <w:ind w:left="10"/>
                                    <w:jc w:val="center"/>
                                    <w:rPr>
                                      <w:sz w:val="21"/>
                                    </w:rPr>
                                  </w:pPr>
                                  <w:r>
                                    <w:rPr>
                                      <w:sz w:val="21"/>
                                    </w:rPr>
                                    <w:t>时</w:t>
                                  </w:r>
                                  <w:r>
                                    <w:rPr>
                                      <w:sz w:val="21"/>
                                    </w:rPr>
                                    <w:tab/>
                                  </w:r>
                                  <w:r>
                                    <w:rPr>
                                      <w:sz w:val="21"/>
                                    </w:rPr>
                                    <w:t>间</w:t>
                                  </w:r>
                                </w:p>
                              </w:tc>
                              <w:tc>
                                <w:tcPr>
                                  <w:tcW w:w="3444" w:type="dxa"/>
                                  <w:gridSpan w:val="3"/>
                                </w:tcPr>
                                <w:p>
                                  <w:pPr>
                                    <w:pStyle w:val="31"/>
                                    <w:spacing w:before="94"/>
                                    <w:ind w:left="671"/>
                                    <w:rPr>
                                      <w:sz w:val="21"/>
                                    </w:rPr>
                                  </w:pPr>
                                  <w:r>
                                    <w:rPr>
                                      <w:sz w:val="21"/>
                                    </w:rPr>
                                    <w:t>参加过的类似项目名称</w:t>
                                  </w:r>
                                </w:p>
                              </w:tc>
                              <w:tc>
                                <w:tcPr>
                                  <w:tcW w:w="1843" w:type="dxa"/>
                                </w:tcPr>
                                <w:p>
                                  <w:pPr>
                                    <w:pStyle w:val="31"/>
                                    <w:spacing w:before="94"/>
                                    <w:ind w:left="166" w:right="156"/>
                                    <w:jc w:val="center"/>
                                    <w:rPr>
                                      <w:sz w:val="21"/>
                                    </w:rPr>
                                  </w:pPr>
                                  <w:r>
                                    <w:rPr>
                                      <w:sz w:val="21"/>
                                    </w:rPr>
                                    <w:t>工程概况说明</w:t>
                                  </w:r>
                                </w:p>
                              </w:tc>
                              <w:tc>
                                <w:tcPr>
                                  <w:tcW w:w="2126" w:type="dxa"/>
                                </w:tcPr>
                                <w:p>
                                  <w:pPr>
                                    <w:pStyle w:val="31"/>
                                    <w:spacing w:before="94"/>
                                    <w:ind w:left="203" w:right="193"/>
                                    <w:jc w:val="center"/>
                                    <w:rPr>
                                      <w:sz w:val="21"/>
                                    </w:rPr>
                                  </w:pPr>
                                  <w:r>
                                    <w:rPr>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bl>
                          <w:p>
                            <w:pPr>
                              <w:pStyle w:val="11"/>
                            </w:pPr>
                          </w:p>
                        </w:txbxContent>
                      </wps:txbx>
                      <wps:bodyPr lIns="0" tIns="0" rIns="0" bIns="0" upright="1"/>
                    </wps:wsp>
                  </a:graphicData>
                </a:graphic>
              </wp:anchor>
            </w:drawing>
          </mc:Choice>
          <mc:Fallback>
            <w:pict>
              <v:shape id="_x0000_s1026" o:spid="_x0000_s1026" o:spt="202" type="#_x0000_t202" style="position:absolute;left:0pt;margin-left:84.8pt;margin-top:64.2pt;height:507.9pt;width:426pt;mso-position-horizontal-relative:page;mso-wrap-distance-bottom:0pt;mso-wrap-distance-top:0pt;z-index:251663360;mso-width-relative:page;mso-height-relative:page;" filled="f" stroked="f" coordsize="21600,21600" o:gfxdata="UEsDBAoAAAAAAIdO4kAAAAAAAAAAAAAAAAAEAAAAZHJzL1BLAwQUAAAACACHTuJAoLnNwdkAAAAN&#10;AQAADwAAAGRycy9kb3ducmV2LnhtbE2PzU7DMBCE70i8g7VI3KidKIraEKdCCE5IiDQcODrxNoka&#10;r0Ps/vD2bE9wm9kdzX5bbi9uEidcwuhJQ7JSIJA6b0fqNXw2rw9rECEasmbyhBp+MMC2ur0pTWH9&#10;mWo87WIvuIRCYTQMMc6FlKEb0Jmw8jMS7/Z+cSayXXppF3PmcjfJVKlcOjMSXxjMjM8Ddofd0Wl4&#10;+qL6Zfx+bz/qfT02zUbRW37Q+v4uUY8gIl7iXxiu+IwOFTO1/kg2iIl9vsk5yiJdZyCuCZUmPGpZ&#10;JVmWgqxK+f+L6hdQSwMEFAAAAAgAh07iQPeq48y+AQAAdQMAAA4AAABkcnMvZTJvRG9jLnhtbK1T&#10;S27bMBDdF+gdCO5ryokdFILlAIGRIECRFkh7AJoiLQL8YUhb8gWaG3TVTfc9l8/RIW05bbrJIhtq&#10;NDN6894banE9WEN2EqL2rqHTSUWJdMK32m0a+u3r7YePlMTEXcuNd7Khexnp9fL9u0UfannhO29a&#10;CQRBXKz70NAupVAzFkUnLY8TH6TDovJgecJX2LAWeI/o1rCLqrpivYc2gBcyRsyujkV6QoTXAHql&#10;tJArL7ZWunREBWl4Qkmx0yHSZWGrlBTps1JRJmIaikpTOXEIxut8suWC1xvgodPiRIG/hsILTZZr&#10;h0PPUCueONmC/g/KagE+epUmwlt2FFIcQRXT6oU3jx0PsmhBq2M4mx7fDlY87L4A0W1DZ3NKHLe4&#10;8cOPp8PP34df3wnm0KA+xBr7HgN2puHGD3htxnzEZNY9KLD5iYoI1tHe/dleOSQiMDmfTSu8AZQI&#10;rF3N5tXlZVkAe/48QEx30luSg4YC7q/YynefYkIq2Dq25GnO32pjyg6N+yeBjTnDMvcjxxylYT2c&#10;BK19u0c95t6hm/lmjAGMwXoMtgH0pkM6RXWBxG0UMqebk9f993sZ/Py3L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LnNwdkAAAANAQAADwAAAAAAAAABACAAAAAiAAAAZHJzL2Rvd25yZXYueG1s&#10;UEsBAhQAFAAAAAgAh07iQPeq48y+AQAAdQMAAA4AAAAAAAAAAQAgAAAAKAEAAGRycy9lMm9Eb2Mu&#10;eG1sUEsFBgAAAAAGAAYAWQEAAFgFAAAAAA==&#10;">
                <v:fill on="f" focussize="0,0"/>
                <v:stroke on="f"/>
                <v:imagedata o:title=""/>
                <o:lock v:ext="edit" aspectratio="f"/>
                <v:textbox inset="0mm,0mm,0mm,0mm">
                  <w:txbxContent>
                    <w:tbl>
                      <w:tblPr>
                        <w:tblStyle w:val="18"/>
                        <w:tblW w:w="850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2"/>
                        <w:gridCol w:w="1035"/>
                        <w:gridCol w:w="1134"/>
                        <w:gridCol w:w="1275"/>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092" w:type="dxa"/>
                          </w:tcPr>
                          <w:p>
                            <w:pPr>
                              <w:pStyle w:val="31"/>
                              <w:tabs>
                                <w:tab w:val="left" w:pos="429"/>
                              </w:tabs>
                              <w:spacing w:before="94"/>
                              <w:ind w:left="10"/>
                              <w:jc w:val="center"/>
                              <w:rPr>
                                <w:sz w:val="21"/>
                              </w:rPr>
                            </w:pPr>
                            <w:r>
                              <w:rPr>
                                <w:sz w:val="21"/>
                              </w:rPr>
                              <w:t>姓</w:t>
                            </w:r>
                            <w:r>
                              <w:rPr>
                                <w:sz w:val="21"/>
                              </w:rPr>
                              <w:tab/>
                            </w:r>
                            <w:r>
                              <w:rPr>
                                <w:sz w:val="21"/>
                              </w:rPr>
                              <w:t>名</w:t>
                            </w:r>
                          </w:p>
                        </w:tc>
                        <w:tc>
                          <w:tcPr>
                            <w:tcW w:w="1035" w:type="dxa"/>
                          </w:tcPr>
                          <w:p>
                            <w:pPr>
                              <w:pStyle w:val="31"/>
                              <w:rPr>
                                <w:rFonts w:ascii="Times New Roman"/>
                                <w:sz w:val="20"/>
                              </w:rPr>
                            </w:pPr>
                          </w:p>
                        </w:tc>
                        <w:tc>
                          <w:tcPr>
                            <w:tcW w:w="1134" w:type="dxa"/>
                          </w:tcPr>
                          <w:p>
                            <w:pPr>
                              <w:pStyle w:val="31"/>
                              <w:tabs>
                                <w:tab w:val="left" w:pos="429"/>
                              </w:tabs>
                              <w:spacing w:before="94"/>
                              <w:ind w:left="9"/>
                              <w:jc w:val="center"/>
                              <w:rPr>
                                <w:sz w:val="21"/>
                              </w:rPr>
                            </w:pPr>
                            <w:r>
                              <w:rPr>
                                <w:sz w:val="21"/>
                              </w:rPr>
                              <w:t>年</w:t>
                            </w:r>
                            <w:r>
                              <w:rPr>
                                <w:sz w:val="21"/>
                              </w:rPr>
                              <w:tab/>
                            </w:r>
                            <w:r>
                              <w:rPr>
                                <w:sz w:val="21"/>
                              </w:rPr>
                              <w:t>龄</w:t>
                            </w:r>
                          </w:p>
                        </w:tc>
                        <w:tc>
                          <w:tcPr>
                            <w:tcW w:w="1275" w:type="dxa"/>
                          </w:tcPr>
                          <w:p>
                            <w:pPr>
                              <w:pStyle w:val="31"/>
                              <w:rPr>
                                <w:rFonts w:ascii="Times New Roman"/>
                                <w:sz w:val="20"/>
                              </w:rPr>
                            </w:pPr>
                          </w:p>
                        </w:tc>
                        <w:tc>
                          <w:tcPr>
                            <w:tcW w:w="1843" w:type="dxa"/>
                          </w:tcPr>
                          <w:p>
                            <w:pPr>
                              <w:pStyle w:val="31"/>
                              <w:spacing w:before="94"/>
                              <w:ind w:left="166" w:right="156"/>
                              <w:jc w:val="center"/>
                              <w:rPr>
                                <w:sz w:val="21"/>
                              </w:rPr>
                            </w:pPr>
                            <w:r>
                              <w:rPr>
                                <w:sz w:val="21"/>
                              </w:rPr>
                              <w:t>学历</w:t>
                            </w: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092" w:type="dxa"/>
                          </w:tcPr>
                          <w:p>
                            <w:pPr>
                              <w:pStyle w:val="31"/>
                              <w:tabs>
                                <w:tab w:val="left" w:pos="429"/>
                              </w:tabs>
                              <w:spacing w:before="94"/>
                              <w:ind w:left="10"/>
                              <w:jc w:val="center"/>
                              <w:rPr>
                                <w:sz w:val="21"/>
                              </w:rPr>
                            </w:pPr>
                            <w:r>
                              <w:rPr>
                                <w:sz w:val="21"/>
                              </w:rPr>
                              <w:t>职</w:t>
                            </w:r>
                            <w:r>
                              <w:rPr>
                                <w:sz w:val="21"/>
                              </w:rPr>
                              <w:tab/>
                            </w:r>
                            <w:r>
                              <w:rPr>
                                <w:sz w:val="21"/>
                              </w:rPr>
                              <w:t>称</w:t>
                            </w:r>
                          </w:p>
                        </w:tc>
                        <w:tc>
                          <w:tcPr>
                            <w:tcW w:w="1035" w:type="dxa"/>
                          </w:tcPr>
                          <w:p>
                            <w:pPr>
                              <w:pStyle w:val="31"/>
                              <w:rPr>
                                <w:rFonts w:ascii="Times New Roman"/>
                                <w:sz w:val="20"/>
                              </w:rPr>
                            </w:pPr>
                          </w:p>
                        </w:tc>
                        <w:tc>
                          <w:tcPr>
                            <w:tcW w:w="1134" w:type="dxa"/>
                          </w:tcPr>
                          <w:p>
                            <w:pPr>
                              <w:pStyle w:val="31"/>
                              <w:tabs>
                                <w:tab w:val="left" w:pos="429"/>
                              </w:tabs>
                              <w:spacing w:before="94"/>
                              <w:ind w:left="9"/>
                              <w:jc w:val="center"/>
                              <w:rPr>
                                <w:sz w:val="21"/>
                              </w:rPr>
                            </w:pPr>
                            <w:r>
                              <w:rPr>
                                <w:sz w:val="21"/>
                              </w:rPr>
                              <w:t>职</w:t>
                            </w:r>
                            <w:r>
                              <w:rPr>
                                <w:sz w:val="21"/>
                              </w:rPr>
                              <w:tab/>
                            </w:r>
                            <w:r>
                              <w:rPr>
                                <w:sz w:val="21"/>
                              </w:rPr>
                              <w:t>务</w:t>
                            </w:r>
                          </w:p>
                        </w:tc>
                        <w:tc>
                          <w:tcPr>
                            <w:tcW w:w="1275" w:type="dxa"/>
                          </w:tcPr>
                          <w:p>
                            <w:pPr>
                              <w:pStyle w:val="31"/>
                              <w:rPr>
                                <w:rFonts w:ascii="Times New Roman"/>
                                <w:sz w:val="20"/>
                              </w:rPr>
                            </w:pPr>
                          </w:p>
                        </w:tc>
                        <w:tc>
                          <w:tcPr>
                            <w:tcW w:w="1843" w:type="dxa"/>
                          </w:tcPr>
                          <w:p>
                            <w:pPr>
                              <w:pStyle w:val="31"/>
                              <w:spacing w:before="94"/>
                              <w:ind w:left="166" w:right="156"/>
                              <w:jc w:val="center"/>
                              <w:rPr>
                                <w:sz w:val="21"/>
                              </w:rPr>
                            </w:pPr>
                            <w:r>
                              <w:rPr>
                                <w:sz w:val="21"/>
                              </w:rPr>
                              <w:t>拟在本工程任职</w:t>
                            </w:r>
                          </w:p>
                        </w:tc>
                        <w:tc>
                          <w:tcPr>
                            <w:tcW w:w="2126" w:type="dxa"/>
                          </w:tcPr>
                          <w:p>
                            <w:pPr>
                              <w:pStyle w:val="31"/>
                              <w:spacing w:before="94"/>
                              <w:ind w:left="203" w:right="193"/>
                              <w:jc w:val="center"/>
                              <w:rPr>
                                <w:sz w:val="21"/>
                              </w:rPr>
                            </w:pPr>
                            <w:r>
                              <w:rPr>
                                <w:sz w:val="21"/>
                              </w:rPr>
                              <w:t>项目经理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261" w:type="dxa"/>
                            <w:gridSpan w:val="3"/>
                          </w:tcPr>
                          <w:p>
                            <w:pPr>
                              <w:pStyle w:val="31"/>
                              <w:spacing w:before="94"/>
                              <w:ind w:left="475"/>
                              <w:rPr>
                                <w:sz w:val="21"/>
                              </w:rPr>
                            </w:pPr>
                            <w:r>
                              <w:rPr>
                                <w:sz w:val="21"/>
                              </w:rPr>
                              <w:t>注册建造师执业资格等级</w:t>
                            </w:r>
                          </w:p>
                        </w:tc>
                        <w:tc>
                          <w:tcPr>
                            <w:tcW w:w="1275" w:type="dxa"/>
                          </w:tcPr>
                          <w:p>
                            <w:pPr>
                              <w:pStyle w:val="31"/>
                              <w:spacing w:before="94"/>
                              <w:ind w:right="205"/>
                              <w:jc w:val="right"/>
                              <w:rPr>
                                <w:sz w:val="21"/>
                              </w:rPr>
                            </w:pPr>
                            <w:r>
                              <w:rPr>
                                <w:sz w:val="21"/>
                              </w:rPr>
                              <w:t>级</w:t>
                            </w:r>
                          </w:p>
                        </w:tc>
                        <w:tc>
                          <w:tcPr>
                            <w:tcW w:w="1843" w:type="dxa"/>
                          </w:tcPr>
                          <w:p>
                            <w:pPr>
                              <w:pStyle w:val="31"/>
                              <w:spacing w:before="94"/>
                              <w:ind w:left="166" w:right="156"/>
                              <w:jc w:val="center"/>
                              <w:rPr>
                                <w:sz w:val="21"/>
                              </w:rPr>
                            </w:pPr>
                            <w:r>
                              <w:rPr>
                                <w:sz w:val="21"/>
                              </w:rPr>
                              <w:t>建造师专业</w:t>
                            </w: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261" w:type="dxa"/>
                            <w:gridSpan w:val="3"/>
                          </w:tcPr>
                          <w:p>
                            <w:pPr>
                              <w:pStyle w:val="31"/>
                              <w:spacing w:before="94"/>
                              <w:ind w:left="580"/>
                              <w:rPr>
                                <w:sz w:val="21"/>
                              </w:rPr>
                            </w:pPr>
                            <w:r>
                              <w:rPr>
                                <w:sz w:val="21"/>
                              </w:rPr>
                              <w:t>安全生产考核合格证书</w:t>
                            </w:r>
                          </w:p>
                        </w:tc>
                        <w:tc>
                          <w:tcPr>
                            <w:tcW w:w="5244" w:type="dxa"/>
                            <w:gridSpan w:val="3"/>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092" w:type="dxa"/>
                          </w:tcPr>
                          <w:p>
                            <w:pPr>
                              <w:pStyle w:val="31"/>
                              <w:spacing w:before="94"/>
                              <w:ind w:left="10"/>
                              <w:jc w:val="center"/>
                              <w:rPr>
                                <w:sz w:val="21"/>
                              </w:rPr>
                            </w:pPr>
                            <w:r>
                              <w:rPr>
                                <w:sz w:val="21"/>
                              </w:rPr>
                              <w:t>毕业学校</w:t>
                            </w:r>
                          </w:p>
                        </w:tc>
                        <w:tc>
                          <w:tcPr>
                            <w:tcW w:w="7413" w:type="dxa"/>
                            <w:gridSpan w:val="5"/>
                          </w:tcPr>
                          <w:p>
                            <w:pPr>
                              <w:pStyle w:val="31"/>
                              <w:tabs>
                                <w:tab w:val="left" w:pos="3677"/>
                                <w:tab w:val="left" w:pos="5357"/>
                              </w:tabs>
                              <w:spacing w:before="94"/>
                              <w:ind w:left="947"/>
                              <w:rPr>
                                <w:sz w:val="21"/>
                              </w:rPr>
                            </w:pPr>
                            <w:r>
                              <w:rPr>
                                <w:sz w:val="21"/>
                              </w:rPr>
                              <w:t>年毕业于</w:t>
                            </w:r>
                            <w:r>
                              <w:rPr>
                                <w:sz w:val="21"/>
                              </w:rPr>
                              <w:tab/>
                            </w:r>
                            <w:r>
                              <w:rPr>
                                <w:sz w:val="21"/>
                              </w:rPr>
                              <w:t>学校</w:t>
                            </w:r>
                            <w:r>
                              <w:rPr>
                                <w:sz w:val="21"/>
                              </w:rPr>
                              <w:tab/>
                            </w:r>
                            <w:r>
                              <w:rPr>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505" w:type="dxa"/>
                            <w:gridSpan w:val="6"/>
                          </w:tcPr>
                          <w:p>
                            <w:pPr>
                              <w:pStyle w:val="31"/>
                              <w:spacing w:before="94"/>
                              <w:ind w:left="3602" w:right="3592"/>
                              <w:jc w:val="center"/>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092" w:type="dxa"/>
                          </w:tcPr>
                          <w:p>
                            <w:pPr>
                              <w:pStyle w:val="31"/>
                              <w:tabs>
                                <w:tab w:val="left" w:pos="429"/>
                              </w:tabs>
                              <w:spacing w:before="94"/>
                              <w:ind w:left="10"/>
                              <w:jc w:val="center"/>
                              <w:rPr>
                                <w:sz w:val="21"/>
                              </w:rPr>
                            </w:pPr>
                            <w:r>
                              <w:rPr>
                                <w:sz w:val="21"/>
                              </w:rPr>
                              <w:t>时</w:t>
                            </w:r>
                            <w:r>
                              <w:rPr>
                                <w:sz w:val="21"/>
                              </w:rPr>
                              <w:tab/>
                            </w:r>
                            <w:r>
                              <w:rPr>
                                <w:sz w:val="21"/>
                              </w:rPr>
                              <w:t>间</w:t>
                            </w:r>
                          </w:p>
                        </w:tc>
                        <w:tc>
                          <w:tcPr>
                            <w:tcW w:w="3444" w:type="dxa"/>
                            <w:gridSpan w:val="3"/>
                          </w:tcPr>
                          <w:p>
                            <w:pPr>
                              <w:pStyle w:val="31"/>
                              <w:spacing w:before="94"/>
                              <w:ind w:left="671"/>
                              <w:rPr>
                                <w:sz w:val="21"/>
                              </w:rPr>
                            </w:pPr>
                            <w:r>
                              <w:rPr>
                                <w:sz w:val="21"/>
                              </w:rPr>
                              <w:t>参加过的类似项目名称</w:t>
                            </w:r>
                          </w:p>
                        </w:tc>
                        <w:tc>
                          <w:tcPr>
                            <w:tcW w:w="1843" w:type="dxa"/>
                          </w:tcPr>
                          <w:p>
                            <w:pPr>
                              <w:pStyle w:val="31"/>
                              <w:spacing w:before="94"/>
                              <w:ind w:left="166" w:right="156"/>
                              <w:jc w:val="center"/>
                              <w:rPr>
                                <w:sz w:val="21"/>
                              </w:rPr>
                            </w:pPr>
                            <w:r>
                              <w:rPr>
                                <w:sz w:val="21"/>
                              </w:rPr>
                              <w:t>工程概况说明</w:t>
                            </w:r>
                          </w:p>
                        </w:tc>
                        <w:tc>
                          <w:tcPr>
                            <w:tcW w:w="2126" w:type="dxa"/>
                          </w:tcPr>
                          <w:p>
                            <w:pPr>
                              <w:pStyle w:val="31"/>
                              <w:spacing w:before="94"/>
                              <w:ind w:left="203" w:right="193"/>
                              <w:jc w:val="center"/>
                              <w:rPr>
                                <w:sz w:val="21"/>
                              </w:rPr>
                            </w:pPr>
                            <w:r>
                              <w:rPr>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2" w:type="dxa"/>
                          </w:tcPr>
                          <w:p>
                            <w:pPr>
                              <w:pStyle w:val="31"/>
                              <w:rPr>
                                <w:rFonts w:ascii="Times New Roman"/>
                                <w:sz w:val="20"/>
                              </w:rPr>
                            </w:pPr>
                          </w:p>
                        </w:tc>
                        <w:tc>
                          <w:tcPr>
                            <w:tcW w:w="1035" w:type="dxa"/>
                          </w:tcPr>
                          <w:p>
                            <w:pPr>
                              <w:pStyle w:val="31"/>
                              <w:rPr>
                                <w:rFonts w:ascii="Times New Roman"/>
                                <w:sz w:val="20"/>
                              </w:rPr>
                            </w:pPr>
                          </w:p>
                        </w:tc>
                        <w:tc>
                          <w:tcPr>
                            <w:tcW w:w="1134" w:type="dxa"/>
                          </w:tcPr>
                          <w:p>
                            <w:pPr>
                              <w:pStyle w:val="31"/>
                              <w:rPr>
                                <w:rFonts w:ascii="Times New Roman"/>
                                <w:sz w:val="20"/>
                              </w:rPr>
                            </w:pPr>
                          </w:p>
                        </w:tc>
                        <w:tc>
                          <w:tcPr>
                            <w:tcW w:w="1275" w:type="dxa"/>
                          </w:tcPr>
                          <w:p>
                            <w:pPr>
                              <w:pStyle w:val="31"/>
                              <w:rPr>
                                <w:rFonts w:ascii="Times New Roman"/>
                                <w:sz w:val="20"/>
                              </w:rPr>
                            </w:pPr>
                          </w:p>
                        </w:tc>
                        <w:tc>
                          <w:tcPr>
                            <w:tcW w:w="1843" w:type="dxa"/>
                          </w:tcPr>
                          <w:p>
                            <w:pPr>
                              <w:pStyle w:val="31"/>
                              <w:rPr>
                                <w:rFonts w:ascii="Times New Roman"/>
                                <w:sz w:val="20"/>
                              </w:rPr>
                            </w:pPr>
                          </w:p>
                        </w:tc>
                        <w:tc>
                          <w:tcPr>
                            <w:tcW w:w="2126" w:type="dxa"/>
                          </w:tcPr>
                          <w:p>
                            <w:pPr>
                              <w:pStyle w:val="31"/>
                              <w:rPr>
                                <w:rFonts w:ascii="Times New Roman"/>
                                <w:sz w:val="20"/>
                              </w:rPr>
                            </w:pPr>
                          </w:p>
                        </w:tc>
                      </w:tr>
                    </w:tbl>
                    <w:p>
                      <w:pPr>
                        <w:pStyle w:val="11"/>
                      </w:pPr>
                    </w:p>
                  </w:txbxContent>
                </v:textbox>
                <w10:wrap type="topAndBottom"/>
              </v:shape>
            </w:pict>
          </mc:Fallback>
        </mc:AlternateContent>
      </w:r>
      <w:r>
        <w:rPr>
          <w:rFonts w:hint="eastAsia" w:ascii="宋体" w:hAnsi="宋体" w:eastAsia="宋体" w:cs="宋体"/>
        </w:rPr>
        <w:t>项目经理应附建造师注册证书、安全生产考核合格证书、身份证、社保复印件及未担任其他在施建设工程项目项目经理的承诺书，管理过的项目业绩须附中标通知书、合同协议书复印件。类似项目限于以项目经理身份参与的项目。</w:t>
      </w:r>
    </w:p>
    <w:p>
      <w:pPr>
        <w:keepNext w:val="0"/>
        <w:keepLines w:val="0"/>
        <w:widowControl w:val="0"/>
        <w:kinsoku/>
        <w:overflowPunct/>
        <w:bidi w:val="0"/>
        <w:adjustRightInd/>
        <w:snapToGrid/>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附 2：主要项目管理人员简历表</w:t>
      </w: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tbl>
      <w:tblPr>
        <w:tblStyle w:val="18"/>
        <w:tblW w:w="81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5"/>
        <w:gridCol w:w="2716"/>
        <w:gridCol w:w="1470"/>
        <w:gridCol w:w="2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jc w:val="center"/>
        </w:trPr>
        <w:tc>
          <w:tcPr>
            <w:tcW w:w="1955"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岗位名称</w:t>
            </w:r>
          </w:p>
        </w:tc>
        <w:tc>
          <w:tcPr>
            <w:tcW w:w="6213" w:type="dxa"/>
            <w:gridSpan w:val="3"/>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0" w:hRule="atLeast"/>
          <w:jc w:val="center"/>
        </w:trPr>
        <w:tc>
          <w:tcPr>
            <w:tcW w:w="1955"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姓</w:t>
            </w:r>
            <w:r>
              <w:rPr>
                <w:rFonts w:hint="eastAsia" w:ascii="宋体" w:hAnsi="宋体" w:eastAsia="宋体" w:cs="宋体"/>
              </w:rPr>
              <w:tab/>
            </w:r>
            <w:r>
              <w:rPr>
                <w:rFonts w:hint="eastAsia" w:ascii="宋体" w:hAnsi="宋体" w:eastAsia="宋体" w:cs="宋体"/>
              </w:rPr>
              <w:t>名</w:t>
            </w:r>
          </w:p>
        </w:tc>
        <w:tc>
          <w:tcPr>
            <w:tcW w:w="2716"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c>
          <w:tcPr>
            <w:tcW w:w="1470"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龄</w:t>
            </w:r>
          </w:p>
        </w:tc>
        <w:tc>
          <w:tcPr>
            <w:tcW w:w="2027"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jc w:val="center"/>
        </w:trPr>
        <w:tc>
          <w:tcPr>
            <w:tcW w:w="1955"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性</w:t>
            </w:r>
            <w:r>
              <w:rPr>
                <w:rFonts w:hint="eastAsia" w:ascii="宋体" w:hAnsi="宋体" w:eastAsia="宋体" w:cs="宋体"/>
              </w:rPr>
              <w:tab/>
            </w:r>
            <w:r>
              <w:rPr>
                <w:rFonts w:hint="eastAsia" w:ascii="宋体" w:hAnsi="宋体" w:eastAsia="宋体" w:cs="宋体"/>
              </w:rPr>
              <w:t>别</w:t>
            </w:r>
          </w:p>
        </w:tc>
        <w:tc>
          <w:tcPr>
            <w:tcW w:w="2716"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c>
          <w:tcPr>
            <w:tcW w:w="1470"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毕业学校</w:t>
            </w:r>
          </w:p>
        </w:tc>
        <w:tc>
          <w:tcPr>
            <w:tcW w:w="2027"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jc w:val="center"/>
        </w:trPr>
        <w:tc>
          <w:tcPr>
            <w:tcW w:w="1955"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学历和专业</w:t>
            </w:r>
          </w:p>
        </w:tc>
        <w:tc>
          <w:tcPr>
            <w:tcW w:w="2716"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c>
          <w:tcPr>
            <w:tcW w:w="1470"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毕业时间</w:t>
            </w:r>
          </w:p>
        </w:tc>
        <w:tc>
          <w:tcPr>
            <w:tcW w:w="2027"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jc w:val="center"/>
        </w:trPr>
        <w:tc>
          <w:tcPr>
            <w:tcW w:w="1955"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拥有的执业资格</w:t>
            </w:r>
          </w:p>
        </w:tc>
        <w:tc>
          <w:tcPr>
            <w:tcW w:w="2716"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c>
          <w:tcPr>
            <w:tcW w:w="1470"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专业职称</w:t>
            </w:r>
          </w:p>
        </w:tc>
        <w:tc>
          <w:tcPr>
            <w:tcW w:w="2027"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jc w:val="center"/>
        </w:trPr>
        <w:tc>
          <w:tcPr>
            <w:tcW w:w="1955"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执业资格证书编号</w:t>
            </w:r>
          </w:p>
        </w:tc>
        <w:tc>
          <w:tcPr>
            <w:tcW w:w="2716"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c>
          <w:tcPr>
            <w:tcW w:w="1470"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p>
          <w:p>
            <w:pPr>
              <w:keepNext w:val="0"/>
              <w:keepLines w:val="0"/>
              <w:widowControl w:val="0"/>
              <w:kinsoku/>
              <w:overflowPunct/>
              <w:bidi w:val="0"/>
              <w:adjustRightInd/>
              <w:snapToGrid/>
              <w:textAlignment w:val="auto"/>
              <w:outlineLvl w:val="9"/>
              <w:rPr>
                <w:rFonts w:hint="eastAsia" w:ascii="宋体" w:hAnsi="宋体" w:eastAsia="宋体" w:cs="宋体"/>
              </w:rPr>
            </w:pPr>
            <w:r>
              <w:rPr>
                <w:rFonts w:hint="eastAsia" w:ascii="宋体" w:hAnsi="宋体" w:eastAsia="宋体" w:cs="宋体"/>
              </w:rPr>
              <w:t>工作年限</w:t>
            </w:r>
          </w:p>
        </w:tc>
        <w:tc>
          <w:tcPr>
            <w:tcW w:w="2027" w:type="dxa"/>
            <w:vAlign w:val="center"/>
          </w:tcPr>
          <w:p>
            <w:pPr>
              <w:keepNext w:val="0"/>
              <w:keepLines w:val="0"/>
              <w:widowControl w:val="0"/>
              <w:kinsoku/>
              <w:overflowPunct/>
              <w:bidi w:val="0"/>
              <w:adjustRightInd/>
              <w:snapToGrid/>
              <w:textAlignment w:val="auto"/>
              <w:outlineLvl w:val="9"/>
              <w:rPr>
                <w:rFonts w:hint="eastAsia" w:ascii="宋体" w:hAnsi="宋体" w:eastAsia="宋体" w:cs="宋体"/>
              </w:rPr>
            </w:pPr>
          </w:p>
        </w:tc>
      </w:tr>
    </w:tbl>
    <w:p>
      <w:pPr>
        <w:keepNext w:val="0"/>
        <w:keepLines w:val="0"/>
        <w:pageBreakBefore w:val="0"/>
        <w:widowControl w:val="0"/>
        <w:kinsoku/>
        <w:wordWrap/>
        <w:overflowPunct/>
        <w:topLinePunct w:val="0"/>
        <w:autoSpaceDE w:val="0"/>
        <w:autoSpaceDN w:val="0"/>
        <w:bidi w:val="0"/>
        <w:adjustRightInd/>
        <w:snapToGrid/>
        <w:spacing w:after="0"/>
        <w:textAlignment w:val="auto"/>
        <w:outlineLvl w:val="9"/>
        <w:rPr>
          <w:rFonts w:hint="eastAsia" w:ascii="宋体" w:hAnsi="宋体" w:eastAsia="宋体" w:cs="宋体"/>
          <w:sz w:val="20"/>
        </w:rPr>
        <w:sectPr>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spacing w:before="53"/>
        <w:ind w:left="1021"/>
        <w:textAlignment w:val="auto"/>
        <w:outlineLvl w:val="9"/>
        <w:rPr>
          <w:rFonts w:hint="eastAsia" w:ascii="宋体" w:hAnsi="宋体" w:eastAsia="宋体" w:cs="宋体"/>
        </w:rPr>
      </w:pPr>
      <w:r>
        <w:rPr>
          <w:rFonts w:hint="eastAsia" w:ascii="宋体" w:hAnsi="宋体" w:eastAsia="宋体" w:cs="宋体"/>
        </w:rPr>
        <w:t>附 3：承诺书</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spacing w:before="5"/>
        <w:textAlignment w:val="auto"/>
        <w:outlineLvl w:val="9"/>
        <w:rPr>
          <w:rFonts w:hint="eastAsia" w:ascii="宋体" w:hAnsi="宋体" w:eastAsia="宋体" w:cs="宋体"/>
          <w:sz w:val="19"/>
        </w:rPr>
      </w:pPr>
    </w:p>
    <w:p>
      <w:pPr>
        <w:pStyle w:val="11"/>
        <w:keepNext w:val="0"/>
        <w:keepLines w:val="0"/>
        <w:pageBreakBefore w:val="0"/>
        <w:widowControl w:val="0"/>
        <w:kinsoku/>
        <w:wordWrap/>
        <w:overflowPunct/>
        <w:topLinePunct w:val="0"/>
        <w:autoSpaceDE w:val="0"/>
        <w:autoSpaceDN w:val="0"/>
        <w:bidi w:val="0"/>
        <w:adjustRightInd/>
        <w:snapToGrid/>
        <w:ind w:left="1021"/>
        <w:textAlignment w:val="auto"/>
        <w:outlineLvl w:val="9"/>
        <w:rPr>
          <w:rFonts w:hint="eastAsia" w:ascii="宋体" w:hAnsi="宋体" w:eastAsia="宋体" w:cs="宋体"/>
        </w:rPr>
      </w:pPr>
      <w:r>
        <w:rPr>
          <w:rFonts w:hint="eastAsia" w:ascii="宋体" w:hAnsi="宋体" w:eastAsia="宋体" w:cs="宋体"/>
          <w:position w:val="-6"/>
        </w:rPr>
        <w:t>————————</w:t>
      </w:r>
      <w:r>
        <w:rPr>
          <w:rFonts w:hint="eastAsia" w:ascii="宋体" w:hAnsi="宋体" w:eastAsia="宋体" w:cs="宋体"/>
        </w:rPr>
        <w:t>（招标人名称）：</w:t>
      </w:r>
    </w:p>
    <w:p>
      <w:pPr>
        <w:pStyle w:val="11"/>
        <w:keepNext w:val="0"/>
        <w:keepLines w:val="0"/>
        <w:pageBreakBefore w:val="0"/>
        <w:widowControl w:val="0"/>
        <w:kinsoku/>
        <w:wordWrap/>
        <w:overflowPunct/>
        <w:topLinePunct w:val="0"/>
        <w:autoSpaceDE w:val="0"/>
        <w:autoSpaceDN w:val="0"/>
        <w:bidi w:val="0"/>
        <w:adjustRightInd/>
        <w:snapToGrid/>
        <w:spacing w:before="6"/>
        <w:textAlignment w:val="auto"/>
        <w:outlineLvl w:val="9"/>
        <w:rPr>
          <w:rFonts w:hint="eastAsia" w:ascii="宋体" w:hAnsi="宋体" w:eastAsia="宋体" w:cs="宋体"/>
        </w:rPr>
      </w:pPr>
    </w:p>
    <w:p>
      <w:pPr>
        <w:pStyle w:val="11"/>
        <w:keepNext w:val="0"/>
        <w:keepLines w:val="0"/>
        <w:pageBreakBefore w:val="0"/>
        <w:widowControl w:val="0"/>
        <w:kinsoku/>
        <w:wordWrap/>
        <w:overflowPunct/>
        <w:topLinePunct w:val="0"/>
        <w:autoSpaceDE w:val="0"/>
        <w:autoSpaceDN w:val="0"/>
        <w:bidi w:val="0"/>
        <w:adjustRightInd/>
        <w:snapToGrid/>
        <w:spacing w:before="6"/>
        <w:textAlignment w:val="auto"/>
        <w:outlineLvl w:val="9"/>
        <w:rPr>
          <w:rFonts w:hint="eastAsia" w:ascii="宋体" w:hAnsi="宋体" w:eastAsia="宋体" w:cs="宋体"/>
          <w:sz w:val="25"/>
        </w:rPr>
      </w:pPr>
    </w:p>
    <w:p>
      <w:pPr>
        <w:keepNext w:val="0"/>
        <w:keepLines w:val="0"/>
        <w:pageBreakBefore w:val="0"/>
        <w:widowControl w:val="0"/>
        <w:kinsoku/>
        <w:wordWrap/>
        <w:overflowPunct/>
        <w:topLinePunct w:val="0"/>
        <w:autoSpaceDE w:val="0"/>
        <w:autoSpaceDN w:val="0"/>
        <w:bidi w:val="0"/>
        <w:adjustRightInd/>
        <w:snapToGrid/>
        <w:ind w:left="432"/>
        <w:textAlignment w:val="auto"/>
        <w:outlineLvl w:val="9"/>
        <w:rPr>
          <w:rFonts w:hint="eastAsia" w:ascii="宋体" w:hAnsi="宋体" w:eastAsia="宋体" w:cs="宋体"/>
        </w:rPr>
      </w:pPr>
      <w:r>
        <w:rPr>
          <w:rFonts w:hint="eastAsia" w:ascii="宋体" w:hAnsi="宋体" w:eastAsia="宋体" w:cs="宋体"/>
        </w:rPr>
        <w:t>承诺书</w:t>
      </w:r>
    </w:p>
    <w:p>
      <w:pPr>
        <w:keepNext w:val="0"/>
        <w:keepLines w:val="0"/>
        <w:pageBreakBefore w:val="0"/>
        <w:widowControl w:val="0"/>
        <w:kinsoku/>
        <w:wordWrap/>
        <w:overflowPunct/>
        <w:topLinePunct w:val="0"/>
        <w:autoSpaceDE w:val="0"/>
        <w:autoSpaceDN w:val="0"/>
        <w:bidi w:val="0"/>
        <w:adjustRightInd/>
        <w:snapToGrid/>
        <w:spacing w:after="0"/>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tabs>
          <w:tab w:val="left" w:pos="3819"/>
          <w:tab w:val="left" w:pos="5753"/>
        </w:tabs>
        <w:kinsoku/>
        <w:wordWrap/>
        <w:overflowPunct/>
        <w:topLinePunct w:val="0"/>
        <w:autoSpaceDE w:val="0"/>
        <w:autoSpaceDN w:val="0"/>
        <w:bidi w:val="0"/>
        <w:adjustRightInd/>
        <w:snapToGrid/>
        <w:spacing w:before="101"/>
        <w:ind w:left="399"/>
        <w:jc w:val="center"/>
        <w:textAlignment w:val="auto"/>
        <w:outlineLvl w:val="9"/>
        <w:rPr>
          <w:rFonts w:hint="eastAsia" w:ascii="宋体" w:hAnsi="宋体" w:eastAsia="宋体" w:cs="宋体"/>
        </w:rPr>
      </w:pPr>
      <w:r>
        <w:rPr>
          <w:rFonts w:hint="eastAsia" w:ascii="宋体" w:hAnsi="宋体" w:eastAsia="宋体" w:cs="宋体"/>
        </w:rPr>
        <w:t>我方在此声明，我方拟派往</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标段（以下简称“本工程”）</w:t>
      </w:r>
    </w:p>
    <w:p>
      <w:pPr>
        <w:pStyle w:val="11"/>
        <w:keepNext w:val="0"/>
        <w:keepLines w:val="0"/>
        <w:pageBreakBefore w:val="0"/>
        <w:widowControl w:val="0"/>
        <w:tabs>
          <w:tab w:val="left" w:pos="3434"/>
        </w:tabs>
        <w:kinsoku/>
        <w:wordWrap/>
        <w:overflowPunct/>
        <w:topLinePunct w:val="0"/>
        <w:autoSpaceDE w:val="0"/>
        <w:autoSpaceDN w:val="0"/>
        <w:bidi w:val="0"/>
        <w:adjustRightInd/>
        <w:snapToGrid/>
        <w:spacing w:before="171"/>
        <w:ind w:left="1021"/>
        <w:textAlignment w:val="auto"/>
        <w:outlineLvl w:val="9"/>
        <w:rPr>
          <w:rFonts w:hint="eastAsia" w:ascii="宋体" w:hAnsi="宋体" w:eastAsia="宋体" w:cs="宋体"/>
        </w:rPr>
      </w:pPr>
      <w:r>
        <w:rPr>
          <w:rFonts w:hint="eastAsia" w:ascii="宋体" w:hAnsi="宋体" w:eastAsia="宋体" w:cs="宋体"/>
        </w:rPr>
        <w:t>的项目经理</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（项目经理姓名）现阶段没有担任任何在施建设工程项目的项目经</w:t>
      </w:r>
    </w:p>
    <w:p>
      <w:pPr>
        <w:pStyle w:val="11"/>
        <w:keepNext w:val="0"/>
        <w:keepLines w:val="0"/>
        <w:pageBreakBefore w:val="0"/>
        <w:widowControl w:val="0"/>
        <w:kinsoku/>
        <w:wordWrap/>
        <w:overflowPunct/>
        <w:topLinePunct w:val="0"/>
        <w:autoSpaceDE w:val="0"/>
        <w:autoSpaceDN w:val="0"/>
        <w:bidi w:val="0"/>
        <w:adjustRightInd/>
        <w:snapToGrid/>
        <w:spacing w:before="11"/>
        <w:textAlignment w:val="auto"/>
        <w:outlineLvl w:val="9"/>
        <w:rPr>
          <w:rFonts w:hint="eastAsia" w:ascii="宋体" w:hAnsi="宋体" w:eastAsia="宋体" w:cs="宋体"/>
          <w:sz w:val="7"/>
        </w:rPr>
      </w:pPr>
    </w:p>
    <w:p>
      <w:pPr>
        <w:pStyle w:val="11"/>
        <w:keepNext w:val="0"/>
        <w:keepLines w:val="0"/>
        <w:pageBreakBefore w:val="0"/>
        <w:widowControl w:val="0"/>
        <w:kinsoku/>
        <w:wordWrap/>
        <w:overflowPunct/>
        <w:topLinePunct w:val="0"/>
        <w:autoSpaceDE w:val="0"/>
        <w:autoSpaceDN w:val="0"/>
        <w:bidi w:val="0"/>
        <w:adjustRightInd/>
        <w:snapToGrid/>
        <w:spacing w:before="71"/>
        <w:ind w:left="1021"/>
        <w:textAlignment w:val="auto"/>
        <w:outlineLvl w:val="9"/>
        <w:rPr>
          <w:rFonts w:hint="eastAsia" w:ascii="宋体" w:hAnsi="宋体" w:eastAsia="宋体" w:cs="宋体"/>
        </w:rPr>
      </w:pPr>
      <w:r>
        <w:rPr>
          <w:rFonts w:hint="eastAsia" w:ascii="宋体" w:hAnsi="宋体" w:eastAsia="宋体" w:cs="宋体"/>
        </w:rPr>
        <w:t>理。</w:t>
      </w:r>
    </w:p>
    <w:p>
      <w:pPr>
        <w:pStyle w:val="11"/>
        <w:keepNext w:val="0"/>
        <w:keepLines w:val="0"/>
        <w:pageBreakBefore w:val="0"/>
        <w:widowControl w:val="0"/>
        <w:kinsoku/>
        <w:wordWrap/>
        <w:overflowPunct/>
        <w:topLinePunct w:val="0"/>
        <w:autoSpaceDE w:val="0"/>
        <w:autoSpaceDN w:val="0"/>
        <w:bidi w:val="0"/>
        <w:adjustRightInd/>
        <w:snapToGrid/>
        <w:spacing w:before="170" w:line="393" w:lineRule="auto"/>
        <w:ind w:left="1021" w:right="1144" w:firstLine="420"/>
        <w:textAlignment w:val="auto"/>
        <w:outlineLvl w:val="9"/>
        <w:rPr>
          <w:rFonts w:hint="eastAsia" w:ascii="宋体" w:hAnsi="宋体" w:eastAsia="宋体" w:cs="宋体"/>
        </w:rPr>
      </w:pPr>
      <w:r>
        <w:rPr>
          <w:rFonts w:hint="eastAsia" w:ascii="宋体" w:hAnsi="宋体" w:eastAsia="宋体" w:cs="宋体"/>
          <w:spacing w:val="-1"/>
        </w:rPr>
        <w:t>我方保证上述信息的真实和准确，并愿意承担因我方就此弄虚作假所引起的一切法律后</w:t>
      </w:r>
      <w:r>
        <w:rPr>
          <w:rFonts w:hint="eastAsia" w:ascii="宋体" w:hAnsi="宋体" w:eastAsia="宋体" w:cs="宋体"/>
        </w:rPr>
        <w:t>果。</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spacing w:before="7"/>
        <w:textAlignment w:val="auto"/>
        <w:outlineLvl w:val="9"/>
        <w:rPr>
          <w:rFonts w:hint="eastAsia" w:ascii="宋体" w:hAnsi="宋体" w:eastAsia="宋体" w:cs="宋体"/>
          <w:sz w:val="28"/>
        </w:rPr>
      </w:pPr>
    </w:p>
    <w:p>
      <w:pPr>
        <w:pStyle w:val="11"/>
        <w:keepNext w:val="0"/>
        <w:keepLines w:val="0"/>
        <w:pageBreakBefore w:val="0"/>
        <w:widowControl w:val="0"/>
        <w:kinsoku/>
        <w:wordWrap/>
        <w:overflowPunct/>
        <w:topLinePunct w:val="0"/>
        <w:autoSpaceDE w:val="0"/>
        <w:autoSpaceDN w:val="0"/>
        <w:bidi w:val="0"/>
        <w:adjustRightInd/>
        <w:snapToGrid/>
        <w:ind w:left="1441"/>
        <w:textAlignment w:val="auto"/>
        <w:outlineLvl w:val="9"/>
        <w:rPr>
          <w:rFonts w:hint="eastAsia" w:ascii="宋体" w:hAnsi="宋体" w:eastAsia="宋体" w:cs="宋体"/>
        </w:rPr>
      </w:pPr>
      <w:r>
        <w:rPr>
          <w:rFonts w:hint="eastAsia" w:ascii="宋体" w:hAnsi="宋体" w:eastAsia="宋体" w:cs="宋体"/>
        </w:rPr>
        <w:t>特此承诺</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spacing w:before="5"/>
        <w:textAlignment w:val="auto"/>
        <w:outlineLvl w:val="9"/>
        <w:rPr>
          <w:rFonts w:hint="eastAsia" w:ascii="宋体" w:hAnsi="宋体" w:eastAsia="宋体" w:cs="宋体"/>
          <w:sz w:val="19"/>
        </w:rPr>
      </w:pPr>
    </w:p>
    <w:p>
      <w:pPr>
        <w:pStyle w:val="11"/>
        <w:keepNext w:val="0"/>
        <w:keepLines w:val="0"/>
        <w:pageBreakBefore w:val="0"/>
        <w:widowControl w:val="0"/>
        <w:tabs>
          <w:tab w:val="left" w:pos="8264"/>
        </w:tabs>
        <w:kinsoku/>
        <w:wordWrap/>
        <w:overflowPunct/>
        <w:topLinePunct w:val="0"/>
        <w:autoSpaceDE w:val="0"/>
        <w:autoSpaceDN w:val="0"/>
        <w:bidi w:val="0"/>
        <w:adjustRightInd/>
        <w:snapToGrid/>
        <w:ind w:left="4380"/>
        <w:textAlignment w:val="auto"/>
        <w:outlineLvl w:val="9"/>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 xml:space="preserve"> </w:t>
      </w:r>
      <w:r>
        <w:rPr>
          <w:rFonts w:hint="eastAsia" w:ascii="宋体" w:hAnsi="宋体" w:eastAsia="宋体" w:cs="宋体"/>
        </w:rPr>
        <w:t>（电子签章）</w:t>
      </w:r>
    </w:p>
    <w:p>
      <w:pPr>
        <w:pStyle w:val="11"/>
        <w:keepNext w:val="0"/>
        <w:keepLines w:val="0"/>
        <w:pageBreakBefore w:val="0"/>
        <w:widowControl w:val="0"/>
        <w:tabs>
          <w:tab w:val="left" w:pos="8264"/>
        </w:tabs>
        <w:kinsoku/>
        <w:wordWrap/>
        <w:overflowPunct/>
        <w:topLinePunct w:val="0"/>
        <w:autoSpaceDE w:val="0"/>
        <w:autoSpaceDN w:val="0"/>
        <w:bidi w:val="0"/>
        <w:adjustRightInd/>
        <w:snapToGrid/>
        <w:spacing w:before="171"/>
        <w:ind w:left="3960"/>
        <w:textAlignment w:val="auto"/>
        <w:outlineLvl w:val="9"/>
        <w:rPr>
          <w:rFonts w:hint="eastAsia" w:ascii="宋体" w:hAnsi="宋体" w:eastAsia="宋体" w:cs="宋体"/>
        </w:rPr>
      </w:pPr>
      <w:r>
        <w:rPr>
          <w:rFonts w:hint="eastAsia" w:ascii="宋体" w:hAnsi="宋体" w:eastAsia="宋体" w:cs="宋体"/>
        </w:rPr>
        <w:t>法定代表人或其委托代理人：（电子签章）</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spacing w:before="2"/>
        <w:textAlignment w:val="auto"/>
        <w:outlineLvl w:val="9"/>
        <w:rPr>
          <w:rFonts w:hint="eastAsia" w:ascii="宋体" w:hAnsi="宋体" w:eastAsia="宋体" w:cs="宋体"/>
          <w:sz w:val="22"/>
        </w:rPr>
      </w:pPr>
    </w:p>
    <w:p>
      <w:pPr>
        <w:pStyle w:val="11"/>
        <w:keepNext w:val="0"/>
        <w:keepLines w:val="0"/>
        <w:pageBreakBefore w:val="0"/>
        <w:widowControl w:val="0"/>
        <w:tabs>
          <w:tab w:val="left" w:pos="7214"/>
          <w:tab w:val="left" w:pos="8264"/>
          <w:tab w:val="left" w:pos="9314"/>
        </w:tabs>
        <w:kinsoku/>
        <w:wordWrap/>
        <w:overflowPunct/>
        <w:topLinePunct w:val="0"/>
        <w:autoSpaceDE w:val="0"/>
        <w:autoSpaceDN w:val="0"/>
        <w:bidi w:val="0"/>
        <w:adjustRightInd/>
        <w:snapToGrid/>
        <w:spacing w:before="70"/>
        <w:jc w:val="right"/>
        <w:textAlignment w:val="auto"/>
        <w:outlineLvl w:val="9"/>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keepNext w:val="0"/>
        <w:keepLines w:val="0"/>
        <w:pageBreakBefore w:val="0"/>
        <w:widowControl w:val="0"/>
        <w:kinsoku/>
        <w:wordWrap/>
        <w:overflowPunct/>
        <w:topLinePunct w:val="0"/>
        <w:autoSpaceDE w:val="0"/>
        <w:autoSpaceDN w:val="0"/>
        <w:bidi w:val="0"/>
        <w:adjustRightInd/>
        <w:snapToGrid/>
        <w:spacing w:after="0"/>
        <w:jc w:val="right"/>
        <w:textAlignment w:val="auto"/>
        <w:outlineLvl w:val="9"/>
        <w:rPr>
          <w:rFonts w:hint="eastAsia" w:ascii="宋体" w:hAnsi="宋体" w:eastAsia="宋体" w:cs="宋体"/>
        </w:rPr>
        <w:sectPr>
          <w:type w:val="continuous"/>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spacing w:before="7"/>
        <w:textAlignment w:val="auto"/>
        <w:outlineLvl w:val="9"/>
        <w:rPr>
          <w:rFonts w:hint="eastAsia" w:ascii="宋体" w:hAnsi="宋体" w:eastAsia="宋体" w:cs="宋体"/>
          <w:sz w:val="15"/>
        </w:rPr>
      </w:pPr>
    </w:p>
    <w:p>
      <w:pPr>
        <w:pStyle w:val="11"/>
        <w:keepNext w:val="0"/>
        <w:keepLines w:val="0"/>
        <w:pageBreakBefore w:val="0"/>
        <w:widowControl w:val="0"/>
        <w:kinsoku/>
        <w:wordWrap/>
        <w:overflowPunct/>
        <w:topLinePunct w:val="0"/>
        <w:autoSpaceDE w:val="0"/>
        <w:autoSpaceDN w:val="0"/>
        <w:bidi w:val="0"/>
        <w:adjustRightInd/>
        <w:snapToGrid/>
        <w:spacing w:before="7"/>
        <w:textAlignment w:val="auto"/>
        <w:outlineLvl w:val="9"/>
        <w:rPr>
          <w:rFonts w:hint="eastAsia" w:ascii="宋体" w:hAnsi="宋体" w:eastAsia="宋体" w:cs="宋体"/>
        </w:rPr>
      </w:pPr>
      <w:bookmarkStart w:id="1368" w:name="_bookmark19"/>
      <w:bookmarkEnd w:id="1368"/>
      <w:bookmarkStart w:id="1369" w:name="_Toc17663"/>
      <w:bookmarkStart w:id="1370" w:name="_Toc17592"/>
      <w:r>
        <w:rPr>
          <w:rFonts w:hint="eastAsia" w:ascii="宋体" w:hAnsi="宋体" w:eastAsia="宋体" w:cs="宋体"/>
        </w:rPr>
        <w:t>七、</w:t>
      </w:r>
      <w:bookmarkEnd w:id="1369"/>
      <w:bookmarkEnd w:id="1370"/>
      <w:bookmarkStart w:id="1371" w:name="_bookmark20"/>
      <w:bookmarkEnd w:id="1371"/>
      <w:bookmarkStart w:id="1372" w:name="_Toc16802"/>
      <w:bookmarkStart w:id="1373" w:name="_Toc30657"/>
      <w:r>
        <w:rPr>
          <w:rFonts w:hint="eastAsia" w:ascii="宋体" w:hAnsi="宋体" w:eastAsia="宋体" w:cs="宋体"/>
        </w:rPr>
        <w:t>资格审查资料</w:t>
      </w:r>
      <w:bookmarkEnd w:id="1372"/>
      <w:bookmarkEnd w:id="1373"/>
    </w:p>
    <w:p>
      <w:pPr>
        <w:pStyle w:val="11"/>
        <w:keepNext w:val="0"/>
        <w:keepLines w:val="0"/>
        <w:pageBreakBefore w:val="0"/>
        <w:widowControl w:val="0"/>
        <w:kinsoku/>
        <w:wordWrap/>
        <w:overflowPunct/>
        <w:topLinePunct w:val="0"/>
        <w:autoSpaceDE w:val="0"/>
        <w:autoSpaceDN w:val="0"/>
        <w:bidi w:val="0"/>
        <w:adjustRightInd/>
        <w:snapToGrid/>
        <w:spacing w:before="11"/>
        <w:textAlignment w:val="auto"/>
        <w:outlineLvl w:val="9"/>
        <w:rPr>
          <w:rFonts w:hint="eastAsia" w:ascii="宋体" w:hAnsi="宋体" w:eastAsia="宋体" w:cs="宋体"/>
          <w:b/>
          <w:sz w:val="22"/>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宋体" w:hAnsi="宋体" w:eastAsia="宋体" w:cs="宋体"/>
        </w:rPr>
      </w:pPr>
      <w:bookmarkStart w:id="1374" w:name="_Toc13319"/>
      <w:r>
        <w:rPr>
          <w:rFonts w:hint="eastAsia" w:ascii="宋体" w:hAnsi="宋体" w:eastAsia="宋体" w:cs="宋体"/>
        </w:rPr>
        <w:t>（一）投标人基本情况表</w:t>
      </w:r>
      <w:bookmarkEnd w:id="1374"/>
    </w:p>
    <w:p>
      <w:pPr>
        <w:pStyle w:val="11"/>
        <w:keepNext w:val="0"/>
        <w:keepLines w:val="0"/>
        <w:pageBreakBefore w:val="0"/>
        <w:widowControl w:val="0"/>
        <w:kinsoku/>
        <w:wordWrap/>
        <w:overflowPunct/>
        <w:topLinePunct w:val="0"/>
        <w:autoSpaceDE w:val="0"/>
        <w:autoSpaceDN w:val="0"/>
        <w:bidi w:val="0"/>
        <w:adjustRightInd/>
        <w:snapToGrid/>
        <w:spacing w:before="9"/>
        <w:textAlignment w:val="auto"/>
        <w:outlineLvl w:val="9"/>
        <w:rPr>
          <w:rFonts w:hint="eastAsia" w:ascii="宋体" w:hAnsi="宋体" w:eastAsia="宋体" w:cs="宋体"/>
          <w:b/>
          <w:sz w:val="5"/>
        </w:rPr>
      </w:pPr>
    </w:p>
    <w:tbl>
      <w:tblPr>
        <w:tblStyle w:val="18"/>
        <w:tblW w:w="8505" w:type="dxa"/>
        <w:tblInd w:w="10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5"/>
        <w:gridCol w:w="897"/>
        <w:gridCol w:w="1021"/>
        <w:gridCol w:w="993"/>
        <w:gridCol w:w="283"/>
        <w:gridCol w:w="195"/>
        <w:gridCol w:w="1246"/>
        <w:gridCol w:w="260"/>
        <w:gridCol w:w="709"/>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投标人名称</w:t>
            </w:r>
          </w:p>
        </w:tc>
        <w:tc>
          <w:tcPr>
            <w:tcW w:w="7020" w:type="dxa"/>
            <w:gridSpan w:val="9"/>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注册地址</w:t>
            </w:r>
          </w:p>
        </w:tc>
        <w:tc>
          <w:tcPr>
            <w:tcW w:w="3389" w:type="dxa"/>
            <w:gridSpan w:val="5"/>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1246" w:type="dxa"/>
          </w:tcPr>
          <w:p>
            <w:pPr>
              <w:pStyle w:val="31"/>
              <w:keepNext w:val="0"/>
              <w:keepLines w:val="0"/>
              <w:pageBreakBefore w:val="0"/>
              <w:widowControl w:val="0"/>
              <w:kinsoku/>
              <w:wordWrap/>
              <w:overflowPunct/>
              <w:topLinePunct w:val="0"/>
              <w:autoSpaceDE w:val="0"/>
              <w:autoSpaceDN w:val="0"/>
              <w:bidi w:val="0"/>
              <w:adjustRightInd/>
              <w:snapToGrid/>
              <w:spacing w:before="150"/>
              <w:ind w:left="9"/>
              <w:jc w:val="center"/>
              <w:textAlignment w:val="auto"/>
              <w:outlineLvl w:val="9"/>
              <w:rPr>
                <w:rFonts w:hint="eastAsia" w:ascii="宋体" w:hAnsi="宋体" w:eastAsia="宋体" w:cs="宋体"/>
                <w:sz w:val="21"/>
              </w:rPr>
            </w:pPr>
            <w:r>
              <w:rPr>
                <w:rFonts w:hint="eastAsia" w:ascii="宋体" w:hAnsi="宋体" w:eastAsia="宋体" w:cs="宋体"/>
                <w:sz w:val="21"/>
              </w:rPr>
              <w:t>邮政编码</w:t>
            </w:r>
          </w:p>
        </w:tc>
        <w:tc>
          <w:tcPr>
            <w:tcW w:w="2385" w:type="dxa"/>
            <w:gridSpan w:val="3"/>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vMerge w:val="restart"/>
          </w:tcPr>
          <w:p>
            <w:pPr>
              <w:pStyle w:val="31"/>
              <w:keepNext w:val="0"/>
              <w:keepLines w:val="0"/>
              <w:pageBreakBefore w:val="0"/>
              <w:widowControl w:val="0"/>
              <w:kinsoku/>
              <w:wordWrap/>
              <w:overflowPunct/>
              <w:topLinePunct w:val="0"/>
              <w:autoSpaceDE w:val="0"/>
              <w:autoSpaceDN w:val="0"/>
              <w:bidi w:val="0"/>
              <w:adjustRightInd/>
              <w:snapToGrid/>
              <w:spacing w:before="16"/>
              <w:textAlignment w:val="auto"/>
              <w:outlineLvl w:val="9"/>
              <w:rPr>
                <w:rFonts w:hint="eastAsia" w:ascii="宋体" w:hAnsi="宋体" w:eastAsia="宋体" w:cs="宋体"/>
                <w:b/>
                <w:sz w:val="23"/>
              </w:rPr>
            </w:pPr>
          </w:p>
          <w:p>
            <w:pPr>
              <w:pStyle w:val="31"/>
              <w:keepNext w:val="0"/>
              <w:keepLines w:val="0"/>
              <w:pageBreakBefore w:val="0"/>
              <w:widowControl w:val="0"/>
              <w:kinsoku/>
              <w:wordWrap/>
              <w:overflowPunct/>
              <w:topLinePunct w:val="0"/>
              <w:autoSpaceDE w:val="0"/>
              <w:autoSpaceDN w:val="0"/>
              <w:bidi w:val="0"/>
              <w:adjustRightInd/>
              <w:snapToGrid/>
              <w:ind w:left="322"/>
              <w:textAlignment w:val="auto"/>
              <w:outlineLvl w:val="9"/>
              <w:rPr>
                <w:rFonts w:hint="eastAsia" w:ascii="宋体" w:hAnsi="宋体" w:eastAsia="宋体" w:cs="宋体"/>
                <w:sz w:val="21"/>
              </w:rPr>
            </w:pPr>
            <w:r>
              <w:rPr>
                <w:rFonts w:hint="eastAsia" w:ascii="宋体" w:hAnsi="宋体" w:eastAsia="宋体" w:cs="宋体"/>
                <w:sz w:val="21"/>
              </w:rPr>
              <w:t>联系方式</w:t>
            </w:r>
          </w:p>
        </w:tc>
        <w:tc>
          <w:tcPr>
            <w:tcW w:w="897" w:type="dxa"/>
          </w:tcPr>
          <w:p>
            <w:pPr>
              <w:pStyle w:val="31"/>
              <w:keepNext w:val="0"/>
              <w:keepLines w:val="0"/>
              <w:pageBreakBefore w:val="0"/>
              <w:widowControl w:val="0"/>
              <w:kinsoku/>
              <w:wordWrap/>
              <w:overflowPunct/>
              <w:topLinePunct w:val="0"/>
              <w:autoSpaceDE w:val="0"/>
              <w:autoSpaceDN w:val="0"/>
              <w:bidi w:val="0"/>
              <w:adjustRightInd/>
              <w:snapToGrid/>
              <w:spacing w:before="150"/>
              <w:ind w:left="10"/>
              <w:jc w:val="center"/>
              <w:textAlignment w:val="auto"/>
              <w:outlineLvl w:val="9"/>
              <w:rPr>
                <w:rFonts w:hint="eastAsia" w:ascii="宋体" w:hAnsi="宋体" w:eastAsia="宋体" w:cs="宋体"/>
                <w:sz w:val="21"/>
              </w:rPr>
            </w:pPr>
            <w:r>
              <w:rPr>
                <w:rFonts w:hint="eastAsia" w:ascii="宋体" w:hAnsi="宋体" w:eastAsia="宋体" w:cs="宋体"/>
                <w:sz w:val="21"/>
              </w:rPr>
              <w:t>联系人</w:t>
            </w:r>
          </w:p>
        </w:tc>
        <w:tc>
          <w:tcPr>
            <w:tcW w:w="2492" w:type="dxa"/>
            <w:gridSpan w:val="4"/>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1246" w:type="dxa"/>
          </w:tcPr>
          <w:p>
            <w:pPr>
              <w:pStyle w:val="31"/>
              <w:keepNext w:val="0"/>
              <w:keepLines w:val="0"/>
              <w:pageBreakBefore w:val="0"/>
              <w:widowControl w:val="0"/>
              <w:tabs>
                <w:tab w:val="left" w:pos="429"/>
              </w:tabs>
              <w:kinsoku/>
              <w:wordWrap/>
              <w:overflowPunct/>
              <w:topLinePunct w:val="0"/>
              <w:autoSpaceDE w:val="0"/>
              <w:autoSpaceDN w:val="0"/>
              <w:bidi w:val="0"/>
              <w:adjustRightInd/>
              <w:snapToGrid/>
              <w:spacing w:before="150"/>
              <w:ind w:left="9"/>
              <w:jc w:val="center"/>
              <w:textAlignment w:val="auto"/>
              <w:outlineLvl w:val="9"/>
              <w:rPr>
                <w:rFonts w:hint="eastAsia" w:ascii="宋体" w:hAnsi="宋体" w:eastAsia="宋体" w:cs="宋体"/>
                <w:sz w:val="21"/>
              </w:rPr>
            </w:pPr>
            <w:r>
              <w:rPr>
                <w:rFonts w:hint="eastAsia" w:ascii="宋体" w:hAnsi="宋体" w:eastAsia="宋体" w:cs="宋体"/>
                <w:sz w:val="21"/>
              </w:rPr>
              <w:t>电</w:t>
            </w:r>
            <w:r>
              <w:rPr>
                <w:rFonts w:hint="eastAsia" w:ascii="宋体" w:hAnsi="宋体" w:eastAsia="宋体" w:cs="宋体"/>
                <w:sz w:val="21"/>
              </w:rPr>
              <w:tab/>
            </w:r>
            <w:r>
              <w:rPr>
                <w:rFonts w:hint="eastAsia" w:ascii="宋体" w:hAnsi="宋体" w:eastAsia="宋体" w:cs="宋体"/>
                <w:sz w:val="21"/>
              </w:rPr>
              <w:t>话</w:t>
            </w:r>
          </w:p>
        </w:tc>
        <w:tc>
          <w:tcPr>
            <w:tcW w:w="2385" w:type="dxa"/>
            <w:gridSpan w:val="3"/>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8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
                <w:szCs w:val="2"/>
              </w:rPr>
            </w:pPr>
          </w:p>
        </w:tc>
        <w:tc>
          <w:tcPr>
            <w:tcW w:w="897" w:type="dxa"/>
          </w:tcPr>
          <w:p>
            <w:pPr>
              <w:pStyle w:val="31"/>
              <w:keepNext w:val="0"/>
              <w:keepLines w:val="0"/>
              <w:pageBreakBefore w:val="0"/>
              <w:widowControl w:val="0"/>
              <w:tabs>
                <w:tab w:val="left" w:pos="429"/>
              </w:tabs>
              <w:kinsoku/>
              <w:wordWrap/>
              <w:overflowPunct/>
              <w:topLinePunct w:val="0"/>
              <w:autoSpaceDE w:val="0"/>
              <w:autoSpaceDN w:val="0"/>
              <w:bidi w:val="0"/>
              <w:adjustRightInd/>
              <w:snapToGrid/>
              <w:spacing w:before="150"/>
              <w:ind w:left="10"/>
              <w:jc w:val="center"/>
              <w:textAlignment w:val="auto"/>
              <w:outlineLvl w:val="9"/>
              <w:rPr>
                <w:rFonts w:hint="eastAsia" w:ascii="宋体" w:hAnsi="宋体" w:eastAsia="宋体" w:cs="宋体"/>
                <w:sz w:val="21"/>
              </w:rPr>
            </w:pPr>
            <w:r>
              <w:rPr>
                <w:rFonts w:hint="eastAsia" w:ascii="宋体" w:hAnsi="宋体" w:eastAsia="宋体" w:cs="宋体"/>
                <w:sz w:val="21"/>
              </w:rPr>
              <w:t>传</w:t>
            </w:r>
            <w:r>
              <w:rPr>
                <w:rFonts w:hint="eastAsia" w:ascii="宋体" w:hAnsi="宋体" w:eastAsia="宋体" w:cs="宋体"/>
                <w:sz w:val="21"/>
              </w:rPr>
              <w:tab/>
            </w:r>
            <w:r>
              <w:rPr>
                <w:rFonts w:hint="eastAsia" w:ascii="宋体" w:hAnsi="宋体" w:eastAsia="宋体" w:cs="宋体"/>
                <w:sz w:val="21"/>
              </w:rPr>
              <w:t>真</w:t>
            </w:r>
          </w:p>
        </w:tc>
        <w:tc>
          <w:tcPr>
            <w:tcW w:w="2492" w:type="dxa"/>
            <w:gridSpan w:val="4"/>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1246" w:type="dxa"/>
          </w:tcPr>
          <w:p>
            <w:pPr>
              <w:pStyle w:val="31"/>
              <w:keepNext w:val="0"/>
              <w:keepLines w:val="0"/>
              <w:pageBreakBefore w:val="0"/>
              <w:widowControl w:val="0"/>
              <w:tabs>
                <w:tab w:val="left" w:pos="429"/>
              </w:tabs>
              <w:kinsoku/>
              <w:wordWrap/>
              <w:overflowPunct/>
              <w:topLinePunct w:val="0"/>
              <w:autoSpaceDE w:val="0"/>
              <w:autoSpaceDN w:val="0"/>
              <w:bidi w:val="0"/>
              <w:adjustRightInd/>
              <w:snapToGrid/>
              <w:spacing w:before="150"/>
              <w:ind w:left="9"/>
              <w:jc w:val="center"/>
              <w:textAlignment w:val="auto"/>
              <w:outlineLvl w:val="9"/>
              <w:rPr>
                <w:rFonts w:hint="eastAsia" w:ascii="宋体" w:hAnsi="宋体" w:eastAsia="宋体" w:cs="宋体"/>
                <w:sz w:val="21"/>
              </w:rPr>
            </w:pPr>
            <w:r>
              <w:rPr>
                <w:rFonts w:hint="eastAsia" w:ascii="宋体" w:hAnsi="宋体" w:eastAsia="宋体" w:cs="宋体"/>
                <w:sz w:val="21"/>
              </w:rPr>
              <w:t>网</w:t>
            </w:r>
            <w:r>
              <w:rPr>
                <w:rFonts w:hint="eastAsia" w:ascii="宋体" w:hAnsi="宋体" w:eastAsia="宋体" w:cs="宋体"/>
                <w:sz w:val="21"/>
              </w:rPr>
              <w:tab/>
            </w:r>
            <w:r>
              <w:rPr>
                <w:rFonts w:hint="eastAsia" w:ascii="宋体" w:hAnsi="宋体" w:eastAsia="宋体" w:cs="宋体"/>
                <w:sz w:val="21"/>
              </w:rPr>
              <w:t>址</w:t>
            </w:r>
          </w:p>
        </w:tc>
        <w:tc>
          <w:tcPr>
            <w:tcW w:w="2385" w:type="dxa"/>
            <w:gridSpan w:val="3"/>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组织结构</w:t>
            </w:r>
          </w:p>
        </w:tc>
        <w:tc>
          <w:tcPr>
            <w:tcW w:w="7020" w:type="dxa"/>
            <w:gridSpan w:val="9"/>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法定代表人</w:t>
            </w:r>
          </w:p>
        </w:tc>
        <w:tc>
          <w:tcPr>
            <w:tcW w:w="897" w:type="dxa"/>
          </w:tcPr>
          <w:p>
            <w:pPr>
              <w:pStyle w:val="31"/>
              <w:keepNext w:val="0"/>
              <w:keepLines w:val="0"/>
              <w:pageBreakBefore w:val="0"/>
              <w:widowControl w:val="0"/>
              <w:kinsoku/>
              <w:wordWrap/>
              <w:overflowPunct/>
              <w:topLinePunct w:val="0"/>
              <w:autoSpaceDE w:val="0"/>
              <w:autoSpaceDN w:val="0"/>
              <w:bidi w:val="0"/>
              <w:adjustRightInd/>
              <w:snapToGrid/>
              <w:spacing w:before="150"/>
              <w:ind w:left="10"/>
              <w:jc w:val="center"/>
              <w:textAlignment w:val="auto"/>
              <w:outlineLvl w:val="9"/>
              <w:rPr>
                <w:rFonts w:hint="eastAsia" w:ascii="宋体" w:hAnsi="宋体" w:eastAsia="宋体" w:cs="宋体"/>
                <w:sz w:val="21"/>
              </w:rPr>
            </w:pPr>
            <w:r>
              <w:rPr>
                <w:rFonts w:hint="eastAsia" w:ascii="宋体" w:hAnsi="宋体" w:eastAsia="宋体" w:cs="宋体"/>
                <w:sz w:val="21"/>
              </w:rPr>
              <w:t>姓名</w:t>
            </w:r>
          </w:p>
        </w:tc>
        <w:tc>
          <w:tcPr>
            <w:tcW w:w="102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1276" w:type="dxa"/>
            <w:gridSpan w:val="2"/>
          </w:tcPr>
          <w:p>
            <w:pPr>
              <w:pStyle w:val="31"/>
              <w:keepNext w:val="0"/>
              <w:keepLines w:val="0"/>
              <w:pageBreakBefore w:val="0"/>
              <w:widowControl w:val="0"/>
              <w:kinsoku/>
              <w:wordWrap/>
              <w:overflowPunct/>
              <w:topLinePunct w:val="0"/>
              <w:autoSpaceDE w:val="0"/>
              <w:autoSpaceDN w:val="0"/>
              <w:bidi w:val="0"/>
              <w:adjustRightInd/>
              <w:snapToGrid/>
              <w:spacing w:before="150"/>
              <w:ind w:left="217"/>
              <w:textAlignment w:val="auto"/>
              <w:outlineLvl w:val="9"/>
              <w:rPr>
                <w:rFonts w:hint="eastAsia" w:ascii="宋体" w:hAnsi="宋体" w:eastAsia="宋体" w:cs="宋体"/>
                <w:sz w:val="21"/>
              </w:rPr>
            </w:pPr>
            <w:r>
              <w:rPr>
                <w:rFonts w:hint="eastAsia" w:ascii="宋体" w:hAnsi="宋体" w:eastAsia="宋体" w:cs="宋体"/>
                <w:sz w:val="21"/>
              </w:rPr>
              <w:t>技术职称</w:t>
            </w:r>
          </w:p>
        </w:tc>
        <w:tc>
          <w:tcPr>
            <w:tcW w:w="1701" w:type="dxa"/>
            <w:gridSpan w:val="3"/>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spacing w:before="150"/>
              <w:ind w:left="124" w:right="114"/>
              <w:jc w:val="center"/>
              <w:textAlignment w:val="auto"/>
              <w:outlineLvl w:val="9"/>
              <w:rPr>
                <w:rFonts w:hint="eastAsia" w:ascii="宋体" w:hAnsi="宋体" w:eastAsia="宋体" w:cs="宋体"/>
                <w:sz w:val="21"/>
              </w:rPr>
            </w:pPr>
            <w:r>
              <w:rPr>
                <w:rFonts w:hint="eastAsia" w:ascii="宋体" w:hAnsi="宋体" w:eastAsia="宋体" w:cs="宋体"/>
                <w:sz w:val="21"/>
              </w:rPr>
              <w:t>电话</w:t>
            </w:r>
          </w:p>
        </w:tc>
        <w:tc>
          <w:tcPr>
            <w:tcW w:w="1416"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技术负责人</w:t>
            </w:r>
          </w:p>
        </w:tc>
        <w:tc>
          <w:tcPr>
            <w:tcW w:w="897" w:type="dxa"/>
          </w:tcPr>
          <w:p>
            <w:pPr>
              <w:pStyle w:val="31"/>
              <w:keepNext w:val="0"/>
              <w:keepLines w:val="0"/>
              <w:pageBreakBefore w:val="0"/>
              <w:widowControl w:val="0"/>
              <w:kinsoku/>
              <w:wordWrap/>
              <w:overflowPunct/>
              <w:topLinePunct w:val="0"/>
              <w:autoSpaceDE w:val="0"/>
              <w:autoSpaceDN w:val="0"/>
              <w:bidi w:val="0"/>
              <w:adjustRightInd/>
              <w:snapToGrid/>
              <w:spacing w:before="150"/>
              <w:ind w:left="10"/>
              <w:jc w:val="center"/>
              <w:textAlignment w:val="auto"/>
              <w:outlineLvl w:val="9"/>
              <w:rPr>
                <w:rFonts w:hint="eastAsia" w:ascii="宋体" w:hAnsi="宋体" w:eastAsia="宋体" w:cs="宋体"/>
                <w:sz w:val="21"/>
              </w:rPr>
            </w:pPr>
            <w:r>
              <w:rPr>
                <w:rFonts w:hint="eastAsia" w:ascii="宋体" w:hAnsi="宋体" w:eastAsia="宋体" w:cs="宋体"/>
                <w:sz w:val="21"/>
              </w:rPr>
              <w:t>姓名</w:t>
            </w:r>
          </w:p>
        </w:tc>
        <w:tc>
          <w:tcPr>
            <w:tcW w:w="102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1276" w:type="dxa"/>
            <w:gridSpan w:val="2"/>
          </w:tcPr>
          <w:p>
            <w:pPr>
              <w:pStyle w:val="31"/>
              <w:keepNext w:val="0"/>
              <w:keepLines w:val="0"/>
              <w:pageBreakBefore w:val="0"/>
              <w:widowControl w:val="0"/>
              <w:kinsoku/>
              <w:wordWrap/>
              <w:overflowPunct/>
              <w:topLinePunct w:val="0"/>
              <w:autoSpaceDE w:val="0"/>
              <w:autoSpaceDN w:val="0"/>
              <w:bidi w:val="0"/>
              <w:adjustRightInd/>
              <w:snapToGrid/>
              <w:spacing w:before="150"/>
              <w:ind w:left="217"/>
              <w:textAlignment w:val="auto"/>
              <w:outlineLvl w:val="9"/>
              <w:rPr>
                <w:rFonts w:hint="eastAsia" w:ascii="宋体" w:hAnsi="宋体" w:eastAsia="宋体" w:cs="宋体"/>
                <w:sz w:val="21"/>
              </w:rPr>
            </w:pPr>
            <w:r>
              <w:rPr>
                <w:rFonts w:hint="eastAsia" w:ascii="宋体" w:hAnsi="宋体" w:eastAsia="宋体" w:cs="宋体"/>
                <w:sz w:val="21"/>
              </w:rPr>
              <w:t>技术职称</w:t>
            </w:r>
          </w:p>
        </w:tc>
        <w:tc>
          <w:tcPr>
            <w:tcW w:w="1701" w:type="dxa"/>
            <w:gridSpan w:val="3"/>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709" w:type="dxa"/>
          </w:tcPr>
          <w:p>
            <w:pPr>
              <w:pStyle w:val="31"/>
              <w:keepNext w:val="0"/>
              <w:keepLines w:val="0"/>
              <w:pageBreakBefore w:val="0"/>
              <w:widowControl w:val="0"/>
              <w:kinsoku/>
              <w:wordWrap/>
              <w:overflowPunct/>
              <w:topLinePunct w:val="0"/>
              <w:autoSpaceDE w:val="0"/>
              <w:autoSpaceDN w:val="0"/>
              <w:bidi w:val="0"/>
              <w:adjustRightInd/>
              <w:snapToGrid/>
              <w:spacing w:before="150"/>
              <w:ind w:left="124" w:right="114"/>
              <w:jc w:val="center"/>
              <w:textAlignment w:val="auto"/>
              <w:outlineLvl w:val="9"/>
              <w:rPr>
                <w:rFonts w:hint="eastAsia" w:ascii="宋体" w:hAnsi="宋体" w:eastAsia="宋体" w:cs="宋体"/>
                <w:sz w:val="21"/>
              </w:rPr>
            </w:pPr>
            <w:r>
              <w:rPr>
                <w:rFonts w:hint="eastAsia" w:ascii="宋体" w:hAnsi="宋体" w:eastAsia="宋体" w:cs="宋体"/>
                <w:sz w:val="21"/>
              </w:rPr>
              <w:t>电话</w:t>
            </w:r>
          </w:p>
        </w:tc>
        <w:tc>
          <w:tcPr>
            <w:tcW w:w="1416"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成立时间</w:t>
            </w:r>
          </w:p>
        </w:tc>
        <w:tc>
          <w:tcPr>
            <w:tcW w:w="1918"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5102" w:type="dxa"/>
            <w:gridSpan w:val="7"/>
          </w:tcPr>
          <w:p>
            <w:pPr>
              <w:pStyle w:val="31"/>
              <w:keepNext w:val="0"/>
              <w:keepLines w:val="0"/>
              <w:pageBreakBefore w:val="0"/>
              <w:widowControl w:val="0"/>
              <w:kinsoku/>
              <w:wordWrap/>
              <w:overflowPunct/>
              <w:topLinePunct w:val="0"/>
              <w:autoSpaceDE w:val="0"/>
              <w:autoSpaceDN w:val="0"/>
              <w:bidi w:val="0"/>
              <w:adjustRightInd/>
              <w:snapToGrid/>
              <w:spacing w:before="150"/>
              <w:ind w:left="1900" w:right="1891"/>
              <w:jc w:val="center"/>
              <w:textAlignment w:val="auto"/>
              <w:outlineLvl w:val="9"/>
              <w:rPr>
                <w:rFonts w:hint="eastAsia" w:ascii="宋体" w:hAnsi="宋体" w:eastAsia="宋体" w:cs="宋体"/>
                <w:sz w:val="21"/>
              </w:rPr>
            </w:pPr>
            <w:r>
              <w:rPr>
                <w:rFonts w:hint="eastAsia" w:ascii="宋体" w:hAnsi="宋体" w:eastAsia="宋体" w:cs="宋体"/>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企业资质等级</w:t>
            </w:r>
          </w:p>
        </w:tc>
        <w:tc>
          <w:tcPr>
            <w:tcW w:w="1918"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993" w:type="dxa"/>
            <w:vMerge w:val="restart"/>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31"/>
              <w:keepNext w:val="0"/>
              <w:keepLines w:val="0"/>
              <w:pageBreakBefore w:val="0"/>
              <w:widowControl w:val="0"/>
              <w:kinsoku/>
              <w:wordWrap/>
              <w:overflowPunct/>
              <w:topLinePunct w:val="0"/>
              <w:autoSpaceDE w:val="0"/>
              <w:autoSpaceDN w:val="0"/>
              <w:bidi w:val="0"/>
              <w:adjustRightInd/>
              <w:snapToGrid/>
              <w:spacing w:before="17"/>
              <w:textAlignment w:val="auto"/>
              <w:outlineLvl w:val="9"/>
              <w:rPr>
                <w:rFonts w:hint="eastAsia" w:ascii="宋体" w:hAnsi="宋体" w:eastAsia="宋体" w:cs="宋体"/>
                <w:b/>
                <w:sz w:val="10"/>
              </w:rPr>
            </w:pPr>
          </w:p>
          <w:p>
            <w:pPr>
              <w:pStyle w:val="31"/>
              <w:keepNext w:val="0"/>
              <w:keepLines w:val="0"/>
              <w:pageBreakBefore w:val="0"/>
              <w:widowControl w:val="0"/>
              <w:kinsoku/>
              <w:wordWrap/>
              <w:overflowPunct/>
              <w:topLinePunct w:val="0"/>
              <w:autoSpaceDE w:val="0"/>
              <w:autoSpaceDN w:val="0"/>
              <w:bidi w:val="0"/>
              <w:adjustRightInd/>
              <w:snapToGrid/>
              <w:ind w:left="286"/>
              <w:textAlignment w:val="auto"/>
              <w:outlineLvl w:val="9"/>
              <w:rPr>
                <w:rFonts w:hint="eastAsia" w:ascii="宋体" w:hAnsi="宋体" w:eastAsia="宋体" w:cs="宋体"/>
                <w:sz w:val="21"/>
              </w:rPr>
            </w:pPr>
            <w:r>
              <w:rPr>
                <w:rFonts w:hint="eastAsia" w:ascii="宋体" w:hAnsi="宋体" w:eastAsia="宋体" w:cs="宋体"/>
                <w:sz w:val="21"/>
              </w:rPr>
              <w:t>其中</w:t>
            </w:r>
          </w:p>
        </w:tc>
        <w:tc>
          <w:tcPr>
            <w:tcW w:w="1984" w:type="dxa"/>
            <w:gridSpan w:val="4"/>
          </w:tcPr>
          <w:p>
            <w:pPr>
              <w:pStyle w:val="31"/>
              <w:keepNext w:val="0"/>
              <w:keepLines w:val="0"/>
              <w:pageBreakBefore w:val="0"/>
              <w:widowControl w:val="0"/>
              <w:kinsoku/>
              <w:wordWrap/>
              <w:overflowPunct/>
              <w:topLinePunct w:val="0"/>
              <w:autoSpaceDE w:val="0"/>
              <w:autoSpaceDN w:val="0"/>
              <w:bidi w:val="0"/>
              <w:adjustRightInd/>
              <w:snapToGrid/>
              <w:spacing w:before="150"/>
              <w:ind w:left="572"/>
              <w:textAlignment w:val="auto"/>
              <w:outlineLvl w:val="9"/>
              <w:rPr>
                <w:rFonts w:hint="eastAsia" w:ascii="宋体" w:hAnsi="宋体" w:eastAsia="宋体" w:cs="宋体"/>
                <w:sz w:val="21"/>
              </w:rPr>
            </w:pPr>
            <w:r>
              <w:rPr>
                <w:rFonts w:hint="eastAsia" w:ascii="宋体" w:hAnsi="宋体" w:eastAsia="宋体" w:cs="宋体"/>
                <w:sz w:val="21"/>
              </w:rPr>
              <w:t>项目经理</w:t>
            </w:r>
          </w:p>
        </w:tc>
        <w:tc>
          <w:tcPr>
            <w:tcW w:w="2125"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营业执照号</w:t>
            </w:r>
          </w:p>
        </w:tc>
        <w:tc>
          <w:tcPr>
            <w:tcW w:w="1918"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99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
                <w:szCs w:val="2"/>
              </w:rPr>
            </w:pPr>
          </w:p>
        </w:tc>
        <w:tc>
          <w:tcPr>
            <w:tcW w:w="1984" w:type="dxa"/>
            <w:gridSpan w:val="4"/>
          </w:tcPr>
          <w:p>
            <w:pPr>
              <w:pStyle w:val="31"/>
              <w:keepNext w:val="0"/>
              <w:keepLines w:val="0"/>
              <w:pageBreakBefore w:val="0"/>
              <w:widowControl w:val="0"/>
              <w:kinsoku/>
              <w:wordWrap/>
              <w:overflowPunct/>
              <w:topLinePunct w:val="0"/>
              <w:autoSpaceDE w:val="0"/>
              <w:autoSpaceDN w:val="0"/>
              <w:bidi w:val="0"/>
              <w:adjustRightInd/>
              <w:snapToGrid/>
              <w:spacing w:before="150"/>
              <w:ind w:left="362"/>
              <w:textAlignment w:val="auto"/>
              <w:outlineLvl w:val="9"/>
              <w:rPr>
                <w:rFonts w:hint="eastAsia" w:ascii="宋体" w:hAnsi="宋体" w:eastAsia="宋体" w:cs="宋体"/>
                <w:sz w:val="21"/>
              </w:rPr>
            </w:pPr>
            <w:r>
              <w:rPr>
                <w:rFonts w:hint="eastAsia" w:ascii="宋体" w:hAnsi="宋体" w:eastAsia="宋体" w:cs="宋体"/>
                <w:sz w:val="21"/>
              </w:rPr>
              <w:t>高级职称人员</w:t>
            </w:r>
          </w:p>
        </w:tc>
        <w:tc>
          <w:tcPr>
            <w:tcW w:w="2125"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注册资金</w:t>
            </w:r>
          </w:p>
        </w:tc>
        <w:tc>
          <w:tcPr>
            <w:tcW w:w="1918"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99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
                <w:szCs w:val="2"/>
              </w:rPr>
            </w:pPr>
          </w:p>
        </w:tc>
        <w:tc>
          <w:tcPr>
            <w:tcW w:w="1984" w:type="dxa"/>
            <w:gridSpan w:val="4"/>
          </w:tcPr>
          <w:p>
            <w:pPr>
              <w:pStyle w:val="31"/>
              <w:keepNext w:val="0"/>
              <w:keepLines w:val="0"/>
              <w:pageBreakBefore w:val="0"/>
              <w:widowControl w:val="0"/>
              <w:kinsoku/>
              <w:wordWrap/>
              <w:overflowPunct/>
              <w:topLinePunct w:val="0"/>
              <w:autoSpaceDE w:val="0"/>
              <w:autoSpaceDN w:val="0"/>
              <w:bidi w:val="0"/>
              <w:adjustRightInd/>
              <w:snapToGrid/>
              <w:spacing w:before="150"/>
              <w:ind w:left="362"/>
              <w:textAlignment w:val="auto"/>
              <w:outlineLvl w:val="9"/>
              <w:rPr>
                <w:rFonts w:hint="eastAsia" w:ascii="宋体" w:hAnsi="宋体" w:eastAsia="宋体" w:cs="宋体"/>
                <w:sz w:val="21"/>
              </w:rPr>
            </w:pPr>
            <w:r>
              <w:rPr>
                <w:rFonts w:hint="eastAsia" w:ascii="宋体" w:hAnsi="宋体" w:eastAsia="宋体" w:cs="宋体"/>
                <w:sz w:val="21"/>
              </w:rPr>
              <w:t>中级职称人员</w:t>
            </w:r>
          </w:p>
        </w:tc>
        <w:tc>
          <w:tcPr>
            <w:tcW w:w="2125"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开户银行</w:t>
            </w:r>
          </w:p>
        </w:tc>
        <w:tc>
          <w:tcPr>
            <w:tcW w:w="1918"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99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
                <w:szCs w:val="2"/>
              </w:rPr>
            </w:pPr>
          </w:p>
        </w:tc>
        <w:tc>
          <w:tcPr>
            <w:tcW w:w="1984" w:type="dxa"/>
            <w:gridSpan w:val="4"/>
          </w:tcPr>
          <w:p>
            <w:pPr>
              <w:pStyle w:val="31"/>
              <w:keepNext w:val="0"/>
              <w:keepLines w:val="0"/>
              <w:pageBreakBefore w:val="0"/>
              <w:widowControl w:val="0"/>
              <w:kinsoku/>
              <w:wordWrap/>
              <w:overflowPunct/>
              <w:topLinePunct w:val="0"/>
              <w:autoSpaceDE w:val="0"/>
              <w:autoSpaceDN w:val="0"/>
              <w:bidi w:val="0"/>
              <w:adjustRightInd/>
              <w:snapToGrid/>
              <w:spacing w:before="150"/>
              <w:ind w:left="362"/>
              <w:textAlignment w:val="auto"/>
              <w:outlineLvl w:val="9"/>
              <w:rPr>
                <w:rFonts w:hint="eastAsia" w:ascii="宋体" w:hAnsi="宋体" w:eastAsia="宋体" w:cs="宋体"/>
                <w:sz w:val="21"/>
              </w:rPr>
            </w:pPr>
            <w:r>
              <w:rPr>
                <w:rFonts w:hint="eastAsia" w:ascii="宋体" w:hAnsi="宋体" w:eastAsia="宋体" w:cs="宋体"/>
                <w:sz w:val="21"/>
              </w:rPr>
              <w:t>初级职称人员</w:t>
            </w:r>
          </w:p>
        </w:tc>
        <w:tc>
          <w:tcPr>
            <w:tcW w:w="2125"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账号</w:t>
            </w:r>
          </w:p>
        </w:tc>
        <w:tc>
          <w:tcPr>
            <w:tcW w:w="1918"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c>
          <w:tcPr>
            <w:tcW w:w="99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
                <w:szCs w:val="2"/>
              </w:rPr>
            </w:pPr>
          </w:p>
        </w:tc>
        <w:tc>
          <w:tcPr>
            <w:tcW w:w="1984" w:type="dxa"/>
            <w:gridSpan w:val="4"/>
          </w:tcPr>
          <w:p>
            <w:pPr>
              <w:pStyle w:val="31"/>
              <w:keepNext w:val="0"/>
              <w:keepLines w:val="0"/>
              <w:pageBreakBefore w:val="0"/>
              <w:widowControl w:val="0"/>
              <w:tabs>
                <w:tab w:val="left" w:pos="429"/>
              </w:tabs>
              <w:kinsoku/>
              <w:wordWrap/>
              <w:overflowPunct/>
              <w:topLinePunct w:val="0"/>
              <w:autoSpaceDE w:val="0"/>
              <w:autoSpaceDN w:val="0"/>
              <w:bidi w:val="0"/>
              <w:adjustRightInd/>
              <w:snapToGrid/>
              <w:spacing w:before="150"/>
              <w:ind w:left="10"/>
              <w:jc w:val="center"/>
              <w:textAlignment w:val="auto"/>
              <w:outlineLvl w:val="9"/>
              <w:rPr>
                <w:rFonts w:hint="eastAsia" w:ascii="宋体" w:hAnsi="宋体" w:eastAsia="宋体" w:cs="宋体"/>
                <w:sz w:val="21"/>
              </w:rPr>
            </w:pPr>
            <w:r>
              <w:rPr>
                <w:rFonts w:hint="eastAsia" w:ascii="宋体" w:hAnsi="宋体" w:eastAsia="宋体" w:cs="宋体"/>
                <w:sz w:val="21"/>
              </w:rPr>
              <w:t>技</w:t>
            </w:r>
            <w:r>
              <w:rPr>
                <w:rFonts w:hint="eastAsia" w:ascii="宋体" w:hAnsi="宋体" w:eastAsia="宋体" w:cs="宋体"/>
                <w:sz w:val="21"/>
              </w:rPr>
              <w:tab/>
            </w:r>
            <w:r>
              <w:rPr>
                <w:rFonts w:hint="eastAsia" w:ascii="宋体" w:hAnsi="宋体" w:eastAsia="宋体" w:cs="宋体"/>
                <w:sz w:val="21"/>
              </w:rPr>
              <w:t>工</w:t>
            </w:r>
          </w:p>
        </w:tc>
        <w:tc>
          <w:tcPr>
            <w:tcW w:w="2125" w:type="dxa"/>
            <w:gridSpan w:val="2"/>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31"/>
              <w:keepNext w:val="0"/>
              <w:keepLines w:val="0"/>
              <w:pageBreakBefore w:val="0"/>
              <w:widowControl w:val="0"/>
              <w:kinsoku/>
              <w:wordWrap/>
              <w:overflowPunct/>
              <w:topLinePunct w:val="0"/>
              <w:autoSpaceDE w:val="0"/>
              <w:autoSpaceDN w:val="0"/>
              <w:bidi w:val="0"/>
              <w:adjustRightInd/>
              <w:snapToGrid/>
              <w:spacing w:before="2"/>
              <w:textAlignment w:val="auto"/>
              <w:outlineLvl w:val="9"/>
              <w:rPr>
                <w:rFonts w:hint="eastAsia" w:ascii="宋体" w:hAnsi="宋体" w:eastAsia="宋体" w:cs="宋体"/>
                <w:b/>
                <w:sz w:val="22"/>
              </w:rPr>
            </w:pPr>
          </w:p>
          <w:p>
            <w:pPr>
              <w:pStyle w:val="31"/>
              <w:keepNext w:val="0"/>
              <w:keepLines w:val="0"/>
              <w:pageBreakBefore w:val="0"/>
              <w:widowControl w:val="0"/>
              <w:kinsoku/>
              <w:wordWrap/>
              <w:overflowPunct/>
              <w:topLinePunct w:val="0"/>
              <w:autoSpaceDE w:val="0"/>
              <w:autoSpaceDN w:val="0"/>
              <w:bidi w:val="0"/>
              <w:adjustRightInd/>
              <w:snapToGrid/>
              <w:spacing w:before="1"/>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经营范围</w:t>
            </w:r>
          </w:p>
        </w:tc>
        <w:tc>
          <w:tcPr>
            <w:tcW w:w="7020" w:type="dxa"/>
            <w:gridSpan w:val="9"/>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tcPr>
          <w:p>
            <w:pPr>
              <w:pStyle w:val="31"/>
              <w:keepNext w:val="0"/>
              <w:keepLines w:val="0"/>
              <w:pageBreakBefore w:val="0"/>
              <w:widowControl w:val="0"/>
              <w:kinsoku/>
              <w:wordWrap/>
              <w:overflowPunct/>
              <w:topLinePunct w:val="0"/>
              <w:autoSpaceDE w:val="0"/>
              <w:autoSpaceDN w:val="0"/>
              <w:bidi w:val="0"/>
              <w:adjustRightInd/>
              <w:snapToGrid/>
              <w:spacing w:before="150"/>
              <w:ind w:left="92" w:right="82"/>
              <w:jc w:val="center"/>
              <w:textAlignment w:val="auto"/>
              <w:outlineLvl w:val="9"/>
              <w:rPr>
                <w:rFonts w:hint="eastAsia" w:ascii="宋体" w:hAnsi="宋体" w:eastAsia="宋体" w:cs="宋体"/>
                <w:sz w:val="21"/>
              </w:rPr>
            </w:pPr>
            <w:r>
              <w:rPr>
                <w:rFonts w:hint="eastAsia" w:ascii="宋体" w:hAnsi="宋体" w:eastAsia="宋体" w:cs="宋体"/>
                <w:sz w:val="21"/>
              </w:rPr>
              <w:t>备注</w:t>
            </w:r>
          </w:p>
        </w:tc>
        <w:tc>
          <w:tcPr>
            <w:tcW w:w="7020" w:type="dxa"/>
            <w:gridSpan w:val="9"/>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bl>
    <w:p>
      <w:pPr>
        <w:pStyle w:val="11"/>
        <w:keepNext w:val="0"/>
        <w:keepLines w:val="0"/>
        <w:pageBreakBefore w:val="0"/>
        <w:widowControl w:val="0"/>
        <w:kinsoku/>
        <w:wordWrap/>
        <w:overflowPunct/>
        <w:topLinePunct w:val="0"/>
        <w:autoSpaceDE w:val="0"/>
        <w:autoSpaceDN w:val="0"/>
        <w:bidi w:val="0"/>
        <w:adjustRightInd/>
        <w:snapToGrid/>
        <w:spacing w:before="142" w:line="393" w:lineRule="auto"/>
        <w:ind w:left="1021" w:right="1144"/>
        <w:textAlignment w:val="auto"/>
        <w:outlineLvl w:val="9"/>
        <w:rPr>
          <w:rFonts w:hint="eastAsia" w:ascii="宋体" w:hAnsi="宋体" w:eastAsia="宋体" w:cs="宋体"/>
        </w:rPr>
      </w:pPr>
      <w:r>
        <w:rPr>
          <w:rFonts w:hint="eastAsia" w:ascii="宋体" w:hAnsi="宋体" w:eastAsia="宋体" w:cs="宋体"/>
          <w:spacing w:val="-1"/>
        </w:rPr>
        <w:t>备注：本表后应附企业法人营业执照及其年检合格的证明材料、企业资质证书副本、安全生</w:t>
      </w:r>
      <w:r>
        <w:rPr>
          <w:rFonts w:hint="eastAsia" w:ascii="宋体" w:hAnsi="宋体" w:eastAsia="宋体" w:cs="宋体"/>
        </w:rPr>
        <w:t>产许可证等材料的复印件。</w:t>
      </w:r>
    </w:p>
    <w:p>
      <w:pPr>
        <w:keepNext w:val="0"/>
        <w:keepLines w:val="0"/>
        <w:pageBreakBefore w:val="0"/>
        <w:widowControl w:val="0"/>
        <w:kinsoku/>
        <w:wordWrap/>
        <w:overflowPunct/>
        <w:topLinePunct w:val="0"/>
        <w:autoSpaceDE w:val="0"/>
        <w:autoSpaceDN w:val="0"/>
        <w:bidi w:val="0"/>
        <w:adjustRightInd/>
        <w:snapToGrid/>
        <w:spacing w:after="0" w:line="393" w:lineRule="auto"/>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bookmarkStart w:id="1375" w:name="_Toc10689"/>
      <w:r>
        <w:rPr>
          <w:rFonts w:hint="eastAsia" w:ascii="宋体" w:hAnsi="宋体" w:eastAsia="宋体" w:cs="宋体"/>
        </w:rPr>
        <w:t>（二）近年财务状况表</w:t>
      </w:r>
      <w:bookmarkEnd w:id="1375"/>
    </w:p>
    <w:p>
      <w:pPr>
        <w:pStyle w:val="11"/>
        <w:keepNext w:val="0"/>
        <w:keepLines w:val="0"/>
        <w:pageBreakBefore w:val="0"/>
        <w:widowControl w:val="0"/>
        <w:kinsoku/>
        <w:wordWrap/>
        <w:overflowPunct/>
        <w:topLinePunct w:val="0"/>
        <w:autoSpaceDE w:val="0"/>
        <w:autoSpaceDN w:val="0"/>
        <w:bidi w:val="0"/>
        <w:adjustRightInd/>
        <w:snapToGrid/>
        <w:spacing w:before="3"/>
        <w:textAlignment w:val="auto"/>
        <w:outlineLvl w:val="9"/>
        <w:rPr>
          <w:rFonts w:hint="eastAsia" w:ascii="宋体" w:hAnsi="宋体" w:eastAsia="宋体" w:cs="宋体"/>
          <w:b/>
          <w:sz w:val="13"/>
        </w:rPr>
      </w:pPr>
    </w:p>
    <w:p>
      <w:pPr>
        <w:pStyle w:val="11"/>
        <w:keepNext w:val="0"/>
        <w:keepLines w:val="0"/>
        <w:pageBreakBefore w:val="0"/>
        <w:widowControl w:val="0"/>
        <w:kinsoku/>
        <w:wordWrap/>
        <w:overflowPunct/>
        <w:topLinePunct w:val="0"/>
        <w:autoSpaceDE w:val="0"/>
        <w:autoSpaceDN w:val="0"/>
        <w:bidi w:val="0"/>
        <w:adjustRightInd/>
        <w:snapToGrid/>
        <w:spacing w:before="1" w:line="393" w:lineRule="auto"/>
        <w:ind w:left="1651" w:right="1144" w:hanging="630"/>
        <w:jc w:val="both"/>
        <w:textAlignment w:val="auto"/>
        <w:outlineLvl w:val="9"/>
        <w:rPr>
          <w:rFonts w:hint="eastAsia" w:ascii="宋体" w:hAnsi="宋体" w:eastAsia="宋体" w:cs="宋体"/>
        </w:rPr>
      </w:pPr>
      <w:r>
        <w:rPr>
          <w:rFonts w:hint="eastAsia" w:ascii="宋体" w:hAnsi="宋体" w:eastAsia="宋体" w:cs="宋体"/>
          <w:spacing w:val="-1"/>
        </w:rPr>
        <w:t>备注：在此附经会计师事务所或审计机构审计的财务财务会计报表，包括资产负债表、损益表、现金流量表、利润表和财务情况说明书的复印件，具体年份要求见第二章“投标</w:t>
      </w:r>
      <w:r>
        <w:rPr>
          <w:rFonts w:hint="eastAsia" w:ascii="宋体" w:hAnsi="宋体" w:eastAsia="宋体" w:cs="宋体"/>
        </w:rPr>
        <w:t>人须知”的规定。</w:t>
      </w:r>
    </w:p>
    <w:p>
      <w:pPr>
        <w:keepNext w:val="0"/>
        <w:keepLines w:val="0"/>
        <w:pageBreakBefore w:val="0"/>
        <w:widowControl w:val="0"/>
        <w:kinsoku/>
        <w:wordWrap/>
        <w:overflowPunct/>
        <w:topLinePunct w:val="0"/>
        <w:autoSpaceDE w:val="0"/>
        <w:autoSpaceDN w:val="0"/>
        <w:bidi w:val="0"/>
        <w:adjustRightInd/>
        <w:snapToGrid/>
        <w:spacing w:after="0" w:line="393" w:lineRule="auto"/>
        <w:jc w:val="both"/>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bookmarkStart w:id="1376" w:name="_Toc4193"/>
      <w:r>
        <w:rPr>
          <w:rFonts w:hint="eastAsia" w:ascii="宋体" w:hAnsi="宋体" w:eastAsia="宋体" w:cs="宋体"/>
        </w:rPr>
        <w:t>（三）近年完成的类似项目情况表</w:t>
      </w:r>
      <w:bookmarkEnd w:id="1376"/>
    </w:p>
    <w:p>
      <w:pPr>
        <w:pStyle w:val="11"/>
        <w:keepNext w:val="0"/>
        <w:keepLines w:val="0"/>
        <w:pageBreakBefore w:val="0"/>
        <w:widowControl w:val="0"/>
        <w:kinsoku/>
        <w:wordWrap/>
        <w:overflowPunct/>
        <w:topLinePunct w:val="0"/>
        <w:autoSpaceDE w:val="0"/>
        <w:autoSpaceDN w:val="0"/>
        <w:bidi w:val="0"/>
        <w:adjustRightInd/>
        <w:snapToGrid/>
        <w:spacing w:before="9"/>
        <w:textAlignment w:val="auto"/>
        <w:outlineLvl w:val="9"/>
        <w:rPr>
          <w:rFonts w:hint="eastAsia" w:ascii="宋体" w:hAnsi="宋体" w:eastAsia="宋体" w:cs="宋体"/>
          <w:b/>
          <w:sz w:val="5"/>
        </w:rPr>
      </w:pPr>
    </w:p>
    <w:tbl>
      <w:tblPr>
        <w:tblStyle w:val="18"/>
        <w:tblW w:w="8505" w:type="dxa"/>
        <w:tblInd w:w="10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1"/>
        <w:gridCol w:w="6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项目名称</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项目所在地</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发包人名称</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发包人地址</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发包人联系人及电话</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合同价格</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开工日期</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竣工日期</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承担的工作</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工程质量</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项目经理</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技术负责人</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总监理工程师及电话</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31"/>
              <w:keepNext w:val="0"/>
              <w:keepLines w:val="0"/>
              <w:pageBreakBefore w:val="0"/>
              <w:widowControl w:val="0"/>
              <w:kinsoku/>
              <w:wordWrap/>
              <w:overflowPunct/>
              <w:topLinePunct w:val="0"/>
              <w:autoSpaceDE w:val="0"/>
              <w:autoSpaceDN w:val="0"/>
              <w:bidi w:val="0"/>
              <w:adjustRightInd/>
              <w:snapToGrid/>
              <w:spacing w:before="2"/>
              <w:textAlignment w:val="auto"/>
              <w:outlineLvl w:val="9"/>
              <w:rPr>
                <w:rFonts w:hint="eastAsia" w:ascii="宋体" w:hAnsi="宋体" w:eastAsia="宋体" w:cs="宋体"/>
                <w:b/>
                <w:sz w:val="22"/>
              </w:rPr>
            </w:pPr>
          </w:p>
          <w:p>
            <w:pPr>
              <w:pStyle w:val="31"/>
              <w:keepNext w:val="0"/>
              <w:keepLines w:val="0"/>
              <w:pageBreakBefore w:val="0"/>
              <w:widowControl w:val="0"/>
              <w:kinsoku/>
              <w:wordWrap/>
              <w:overflowPunct/>
              <w:topLinePunct w:val="0"/>
              <w:autoSpaceDE w:val="0"/>
              <w:autoSpaceDN w:val="0"/>
              <w:bidi w:val="0"/>
              <w:adjustRightInd/>
              <w:snapToGrid/>
              <w:spacing w:before="1"/>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项目描述</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1"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备注</w:t>
            </w:r>
          </w:p>
        </w:tc>
        <w:tc>
          <w:tcPr>
            <w:tcW w:w="6094"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bl>
    <w:p>
      <w:pPr>
        <w:pStyle w:val="11"/>
        <w:keepNext w:val="0"/>
        <w:keepLines w:val="0"/>
        <w:pageBreakBefore w:val="0"/>
        <w:widowControl w:val="0"/>
        <w:kinsoku/>
        <w:wordWrap/>
        <w:overflowPunct/>
        <w:topLinePunct w:val="0"/>
        <w:autoSpaceDE w:val="0"/>
        <w:autoSpaceDN w:val="0"/>
        <w:bidi w:val="0"/>
        <w:adjustRightInd/>
        <w:snapToGrid/>
        <w:spacing w:before="142" w:line="393" w:lineRule="auto"/>
        <w:ind w:left="1651" w:right="1039" w:hanging="630"/>
        <w:textAlignment w:val="auto"/>
        <w:outlineLvl w:val="9"/>
        <w:rPr>
          <w:rFonts w:hint="eastAsia" w:ascii="宋体" w:hAnsi="宋体" w:eastAsia="宋体" w:cs="宋体"/>
        </w:rPr>
      </w:pPr>
      <w:r>
        <w:rPr>
          <w:rFonts w:hint="eastAsia" w:ascii="宋体" w:hAnsi="宋体" w:eastAsia="宋体" w:cs="宋体"/>
        </w:rPr>
        <w:t>备注：1、本表后附中标通知书和合同协议书的复印件，具体年份要求见投标人须知前附表。每张表格只填写一个项目，并标明序号。</w:t>
      </w:r>
    </w:p>
    <w:p>
      <w:pPr>
        <w:keepNext w:val="0"/>
        <w:keepLines w:val="0"/>
        <w:pageBreakBefore w:val="0"/>
        <w:widowControl w:val="0"/>
        <w:kinsoku/>
        <w:wordWrap/>
        <w:overflowPunct/>
        <w:topLinePunct w:val="0"/>
        <w:autoSpaceDE w:val="0"/>
        <w:autoSpaceDN w:val="0"/>
        <w:bidi w:val="0"/>
        <w:adjustRightInd/>
        <w:snapToGrid/>
        <w:spacing w:after="0" w:line="393" w:lineRule="auto"/>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bookmarkStart w:id="1377" w:name="_Toc28359"/>
      <w:r>
        <w:rPr>
          <w:rFonts w:hint="eastAsia" w:ascii="宋体" w:hAnsi="宋体" w:eastAsia="宋体" w:cs="宋体"/>
        </w:rPr>
        <w:t>（四）正在施工的和新承接的项目情况表</w:t>
      </w:r>
      <w:bookmarkEnd w:id="1377"/>
    </w:p>
    <w:p>
      <w:pPr>
        <w:pStyle w:val="11"/>
        <w:keepNext w:val="0"/>
        <w:keepLines w:val="0"/>
        <w:pageBreakBefore w:val="0"/>
        <w:widowControl w:val="0"/>
        <w:kinsoku/>
        <w:wordWrap/>
        <w:overflowPunct/>
        <w:topLinePunct w:val="0"/>
        <w:autoSpaceDE w:val="0"/>
        <w:autoSpaceDN w:val="0"/>
        <w:bidi w:val="0"/>
        <w:adjustRightInd/>
        <w:snapToGrid/>
        <w:spacing w:before="9"/>
        <w:textAlignment w:val="auto"/>
        <w:outlineLvl w:val="9"/>
        <w:rPr>
          <w:rFonts w:hint="eastAsia" w:ascii="宋体" w:hAnsi="宋体" w:eastAsia="宋体" w:cs="宋体"/>
          <w:b/>
          <w:sz w:val="5"/>
        </w:rPr>
      </w:pPr>
    </w:p>
    <w:tbl>
      <w:tblPr>
        <w:tblStyle w:val="18"/>
        <w:tblW w:w="8505" w:type="dxa"/>
        <w:tblInd w:w="10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0"/>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39" w:right="230"/>
              <w:jc w:val="center"/>
              <w:textAlignment w:val="auto"/>
              <w:outlineLvl w:val="9"/>
              <w:rPr>
                <w:rFonts w:hint="eastAsia" w:ascii="宋体" w:hAnsi="宋体" w:eastAsia="宋体" w:cs="宋体"/>
                <w:sz w:val="21"/>
              </w:rPr>
            </w:pPr>
            <w:r>
              <w:rPr>
                <w:rFonts w:hint="eastAsia" w:ascii="宋体" w:hAnsi="宋体" w:eastAsia="宋体" w:cs="宋体"/>
                <w:sz w:val="21"/>
              </w:rPr>
              <w:t>项目名称</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项目所在地</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发包人名称</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发包人地址</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发包人电话</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签约合同价</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39" w:right="230"/>
              <w:jc w:val="center"/>
              <w:textAlignment w:val="auto"/>
              <w:outlineLvl w:val="9"/>
              <w:rPr>
                <w:rFonts w:hint="eastAsia" w:ascii="宋体" w:hAnsi="宋体" w:eastAsia="宋体" w:cs="宋体"/>
                <w:sz w:val="21"/>
              </w:rPr>
            </w:pPr>
            <w:r>
              <w:rPr>
                <w:rFonts w:hint="eastAsia" w:ascii="宋体" w:hAnsi="宋体" w:eastAsia="宋体" w:cs="宋体"/>
                <w:sz w:val="21"/>
              </w:rPr>
              <w:t>开工日期</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计划竣工日期</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承担的工作</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39" w:right="230"/>
              <w:jc w:val="center"/>
              <w:textAlignment w:val="auto"/>
              <w:outlineLvl w:val="9"/>
              <w:rPr>
                <w:rFonts w:hint="eastAsia" w:ascii="宋体" w:hAnsi="宋体" w:eastAsia="宋体" w:cs="宋体"/>
                <w:sz w:val="21"/>
              </w:rPr>
            </w:pPr>
            <w:r>
              <w:rPr>
                <w:rFonts w:hint="eastAsia" w:ascii="宋体" w:hAnsi="宋体" w:eastAsia="宋体" w:cs="宋体"/>
                <w:sz w:val="21"/>
              </w:rPr>
              <w:t>工程质量</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39" w:right="230"/>
              <w:jc w:val="center"/>
              <w:textAlignment w:val="auto"/>
              <w:outlineLvl w:val="9"/>
              <w:rPr>
                <w:rFonts w:hint="eastAsia" w:ascii="宋体" w:hAnsi="宋体" w:eastAsia="宋体" w:cs="宋体"/>
                <w:sz w:val="21"/>
              </w:rPr>
            </w:pPr>
            <w:r>
              <w:rPr>
                <w:rFonts w:hint="eastAsia" w:ascii="宋体" w:hAnsi="宋体" w:eastAsia="宋体" w:cs="宋体"/>
                <w:sz w:val="21"/>
              </w:rPr>
              <w:t>项目经理</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技术负责人</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40" w:right="230"/>
              <w:jc w:val="center"/>
              <w:textAlignment w:val="auto"/>
              <w:outlineLvl w:val="9"/>
              <w:rPr>
                <w:rFonts w:hint="eastAsia" w:ascii="宋体" w:hAnsi="宋体" w:eastAsia="宋体" w:cs="宋体"/>
                <w:sz w:val="21"/>
              </w:rPr>
            </w:pPr>
            <w:r>
              <w:rPr>
                <w:rFonts w:hint="eastAsia" w:ascii="宋体" w:hAnsi="宋体" w:eastAsia="宋体" w:cs="宋体"/>
                <w:sz w:val="21"/>
              </w:rPr>
              <w:t>总监理工程师及电话</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b/>
                <w:sz w:val="20"/>
              </w:rPr>
            </w:pPr>
          </w:p>
          <w:p>
            <w:pPr>
              <w:pStyle w:val="31"/>
              <w:keepNext w:val="0"/>
              <w:keepLines w:val="0"/>
              <w:pageBreakBefore w:val="0"/>
              <w:widowControl w:val="0"/>
              <w:kinsoku/>
              <w:wordWrap/>
              <w:overflowPunct/>
              <w:topLinePunct w:val="0"/>
              <w:autoSpaceDE w:val="0"/>
              <w:autoSpaceDN w:val="0"/>
              <w:bidi w:val="0"/>
              <w:adjustRightInd/>
              <w:snapToGrid/>
              <w:spacing w:before="2"/>
              <w:textAlignment w:val="auto"/>
              <w:outlineLvl w:val="9"/>
              <w:rPr>
                <w:rFonts w:hint="eastAsia" w:ascii="宋体" w:hAnsi="宋体" w:eastAsia="宋体" w:cs="宋体"/>
                <w:b/>
                <w:sz w:val="22"/>
              </w:rPr>
            </w:pPr>
          </w:p>
          <w:p>
            <w:pPr>
              <w:pStyle w:val="31"/>
              <w:keepNext w:val="0"/>
              <w:keepLines w:val="0"/>
              <w:pageBreakBefore w:val="0"/>
              <w:widowControl w:val="0"/>
              <w:kinsoku/>
              <w:wordWrap/>
              <w:overflowPunct/>
              <w:topLinePunct w:val="0"/>
              <w:autoSpaceDE w:val="0"/>
              <w:autoSpaceDN w:val="0"/>
              <w:bidi w:val="0"/>
              <w:adjustRightInd/>
              <w:snapToGrid/>
              <w:spacing w:before="1"/>
              <w:ind w:left="239" w:right="230"/>
              <w:jc w:val="center"/>
              <w:textAlignment w:val="auto"/>
              <w:outlineLvl w:val="9"/>
              <w:rPr>
                <w:rFonts w:hint="eastAsia" w:ascii="宋体" w:hAnsi="宋体" w:eastAsia="宋体" w:cs="宋体"/>
                <w:sz w:val="21"/>
              </w:rPr>
            </w:pPr>
            <w:r>
              <w:rPr>
                <w:rFonts w:hint="eastAsia" w:ascii="宋体" w:hAnsi="宋体" w:eastAsia="宋体" w:cs="宋体"/>
                <w:sz w:val="21"/>
              </w:rPr>
              <w:t>项目描述</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0" w:type="dxa"/>
          </w:tcPr>
          <w:p>
            <w:pPr>
              <w:pStyle w:val="31"/>
              <w:keepNext w:val="0"/>
              <w:keepLines w:val="0"/>
              <w:pageBreakBefore w:val="0"/>
              <w:widowControl w:val="0"/>
              <w:kinsoku/>
              <w:wordWrap/>
              <w:overflowPunct/>
              <w:topLinePunct w:val="0"/>
              <w:autoSpaceDE w:val="0"/>
              <w:autoSpaceDN w:val="0"/>
              <w:bidi w:val="0"/>
              <w:adjustRightInd/>
              <w:snapToGrid/>
              <w:spacing w:before="179"/>
              <w:ind w:left="239" w:right="230"/>
              <w:jc w:val="center"/>
              <w:textAlignment w:val="auto"/>
              <w:outlineLvl w:val="9"/>
              <w:rPr>
                <w:rFonts w:hint="eastAsia" w:ascii="宋体" w:hAnsi="宋体" w:eastAsia="宋体" w:cs="宋体"/>
                <w:sz w:val="21"/>
              </w:rPr>
            </w:pPr>
            <w:r>
              <w:rPr>
                <w:rFonts w:hint="eastAsia" w:ascii="宋体" w:hAnsi="宋体" w:eastAsia="宋体" w:cs="宋体"/>
                <w:sz w:val="21"/>
              </w:rPr>
              <w:t>备注</w:t>
            </w:r>
          </w:p>
        </w:tc>
        <w:tc>
          <w:tcPr>
            <w:tcW w:w="6095" w:type="dxa"/>
          </w:tcPr>
          <w:p>
            <w:pPr>
              <w:pStyle w:val="3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tc>
      </w:tr>
    </w:tbl>
    <w:p>
      <w:pPr>
        <w:pStyle w:val="11"/>
        <w:keepNext w:val="0"/>
        <w:keepLines w:val="0"/>
        <w:pageBreakBefore w:val="0"/>
        <w:widowControl w:val="0"/>
        <w:kinsoku/>
        <w:wordWrap/>
        <w:overflowPunct/>
        <w:topLinePunct w:val="0"/>
        <w:autoSpaceDE w:val="0"/>
        <w:autoSpaceDN w:val="0"/>
        <w:bidi w:val="0"/>
        <w:adjustRightInd/>
        <w:snapToGrid/>
        <w:spacing w:before="142"/>
        <w:ind w:left="1021"/>
        <w:textAlignment w:val="auto"/>
        <w:outlineLvl w:val="9"/>
        <w:rPr>
          <w:rFonts w:hint="eastAsia" w:ascii="宋体" w:hAnsi="宋体" w:eastAsia="宋体" w:cs="宋体"/>
        </w:rPr>
      </w:pPr>
      <w:r>
        <w:rPr>
          <w:rFonts w:hint="eastAsia" w:ascii="宋体" w:hAnsi="宋体" w:eastAsia="宋体" w:cs="宋体"/>
        </w:rPr>
        <w:t>备注：本表后附中标通知书和合同协议书复印件。每张表格只填写一个项目，并标明序号。</w:t>
      </w:r>
    </w:p>
    <w:p>
      <w:pPr>
        <w:keepNext w:val="0"/>
        <w:keepLines w:val="0"/>
        <w:pageBreakBefore w:val="0"/>
        <w:widowControl w:val="0"/>
        <w:kinsoku/>
        <w:wordWrap/>
        <w:overflowPunct/>
        <w:topLinePunct w:val="0"/>
        <w:autoSpaceDE w:val="0"/>
        <w:autoSpaceDN w:val="0"/>
        <w:bidi w:val="0"/>
        <w:adjustRightInd/>
        <w:snapToGrid/>
        <w:spacing w:after="0"/>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bookmarkStart w:id="1378" w:name="_Toc8121"/>
      <w:r>
        <w:rPr>
          <w:rFonts w:hint="eastAsia" w:ascii="宋体" w:hAnsi="宋体" w:eastAsia="宋体" w:cs="宋体"/>
        </w:rPr>
        <w:t>（五）近年发生的诉讼和仲裁情况</w:t>
      </w:r>
      <w:bookmarkEnd w:id="1378"/>
    </w:p>
    <w:p>
      <w:pPr>
        <w:pStyle w:val="11"/>
        <w:keepNext w:val="0"/>
        <w:keepLines w:val="0"/>
        <w:pageBreakBefore w:val="0"/>
        <w:widowControl w:val="0"/>
        <w:kinsoku/>
        <w:wordWrap/>
        <w:overflowPunct/>
        <w:topLinePunct w:val="0"/>
        <w:autoSpaceDE w:val="0"/>
        <w:autoSpaceDN w:val="0"/>
        <w:bidi w:val="0"/>
        <w:adjustRightInd/>
        <w:snapToGrid/>
        <w:spacing w:before="3"/>
        <w:textAlignment w:val="auto"/>
        <w:outlineLvl w:val="9"/>
        <w:rPr>
          <w:rFonts w:hint="eastAsia" w:ascii="宋体" w:hAnsi="宋体" w:eastAsia="宋体" w:cs="宋体"/>
          <w:b/>
          <w:sz w:val="13"/>
        </w:rPr>
      </w:pPr>
    </w:p>
    <w:p>
      <w:pPr>
        <w:pStyle w:val="11"/>
        <w:keepNext w:val="0"/>
        <w:keepLines w:val="0"/>
        <w:pageBreakBefore w:val="0"/>
        <w:widowControl w:val="0"/>
        <w:kinsoku/>
        <w:wordWrap/>
        <w:overflowPunct/>
        <w:topLinePunct w:val="0"/>
        <w:autoSpaceDE w:val="0"/>
        <w:autoSpaceDN w:val="0"/>
        <w:bidi w:val="0"/>
        <w:adjustRightInd/>
        <w:snapToGrid/>
        <w:spacing w:before="1" w:line="393" w:lineRule="auto"/>
        <w:ind w:left="1651" w:right="934" w:hanging="630"/>
        <w:textAlignment w:val="auto"/>
        <w:outlineLvl w:val="9"/>
        <w:rPr>
          <w:rFonts w:hint="eastAsia" w:ascii="宋体" w:hAnsi="宋体" w:eastAsia="宋体" w:cs="宋体"/>
        </w:rPr>
      </w:pPr>
      <w:r>
        <w:rPr>
          <w:rFonts w:hint="eastAsia" w:ascii="宋体" w:hAnsi="宋体" w:eastAsia="宋体" w:cs="宋体"/>
        </w:rPr>
        <w:t>说明：近年发生的诉讼和仲裁情况仅限于投标人败诉的，且与履行施工承包合同有关的案件， 不包括调解结案以及未裁决的仲裁或未终审判决的诉讼。</w:t>
      </w:r>
    </w:p>
    <w:p>
      <w:pPr>
        <w:keepNext w:val="0"/>
        <w:keepLines w:val="0"/>
        <w:pageBreakBefore w:val="0"/>
        <w:widowControl w:val="0"/>
        <w:kinsoku/>
        <w:wordWrap/>
        <w:overflowPunct/>
        <w:topLinePunct w:val="0"/>
        <w:autoSpaceDE w:val="0"/>
        <w:autoSpaceDN w:val="0"/>
        <w:bidi w:val="0"/>
        <w:adjustRightInd/>
        <w:snapToGrid/>
        <w:spacing w:after="0" w:line="393" w:lineRule="auto"/>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rPr>
      </w:pPr>
      <w:bookmarkStart w:id="1379" w:name="_Toc24485"/>
      <w:r>
        <w:rPr>
          <w:rFonts w:hint="eastAsia" w:ascii="宋体" w:hAnsi="宋体" w:eastAsia="宋体" w:cs="宋体"/>
        </w:rPr>
        <w:t>（六）企业其他信誉情况表（年份要求同诉讼及仲裁情况年份要求）</w:t>
      </w:r>
      <w:bookmarkEnd w:id="1379"/>
    </w:p>
    <w:p>
      <w:pPr>
        <w:pStyle w:val="11"/>
        <w:keepNext w:val="0"/>
        <w:keepLines w:val="0"/>
        <w:pageBreakBefore w:val="0"/>
        <w:widowControl w:val="0"/>
        <w:kinsoku/>
        <w:wordWrap/>
        <w:overflowPunct/>
        <w:topLinePunct w:val="0"/>
        <w:autoSpaceDE w:val="0"/>
        <w:autoSpaceDN w:val="0"/>
        <w:bidi w:val="0"/>
        <w:adjustRightInd/>
        <w:snapToGrid/>
        <w:spacing w:before="3"/>
        <w:textAlignment w:val="auto"/>
        <w:outlineLvl w:val="9"/>
        <w:rPr>
          <w:rFonts w:hint="eastAsia" w:ascii="宋体" w:hAnsi="宋体" w:eastAsia="宋体" w:cs="宋体"/>
          <w:b/>
          <w:sz w:val="13"/>
        </w:rPr>
      </w:pPr>
    </w:p>
    <w:p>
      <w:pPr>
        <w:pStyle w:val="11"/>
        <w:keepNext w:val="0"/>
        <w:keepLines w:val="0"/>
        <w:pageBreakBefore w:val="0"/>
        <w:widowControl w:val="0"/>
        <w:kinsoku/>
        <w:wordWrap/>
        <w:overflowPunct/>
        <w:topLinePunct w:val="0"/>
        <w:autoSpaceDE w:val="0"/>
        <w:autoSpaceDN w:val="0"/>
        <w:bidi w:val="0"/>
        <w:adjustRightInd/>
        <w:snapToGrid/>
        <w:spacing w:before="1"/>
        <w:ind w:left="1021"/>
        <w:textAlignment w:val="auto"/>
        <w:outlineLvl w:val="9"/>
        <w:rPr>
          <w:rFonts w:hint="eastAsia" w:ascii="宋体" w:hAnsi="宋体" w:eastAsia="宋体" w:cs="宋体"/>
        </w:rPr>
      </w:pPr>
      <w:r>
        <w:rPr>
          <w:rFonts w:hint="eastAsia" w:ascii="宋体" w:hAnsi="宋体" w:eastAsia="宋体" w:cs="宋体"/>
        </w:rPr>
        <w:t>1、近年企业不良行为记录情况</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spacing w:before="4"/>
        <w:textAlignment w:val="auto"/>
        <w:outlineLvl w:val="9"/>
        <w:rPr>
          <w:rFonts w:hint="eastAsia" w:ascii="宋体" w:hAnsi="宋体" w:eastAsia="宋体" w:cs="宋体"/>
          <w:sz w:val="19"/>
        </w:rPr>
      </w:pPr>
    </w:p>
    <w:p>
      <w:pPr>
        <w:pStyle w:val="11"/>
        <w:keepNext w:val="0"/>
        <w:keepLines w:val="0"/>
        <w:pageBreakBefore w:val="0"/>
        <w:widowControl w:val="0"/>
        <w:kinsoku/>
        <w:wordWrap/>
        <w:overflowPunct/>
        <w:topLinePunct w:val="0"/>
        <w:autoSpaceDE w:val="0"/>
        <w:autoSpaceDN w:val="0"/>
        <w:bidi w:val="0"/>
        <w:adjustRightInd/>
        <w:snapToGrid/>
        <w:spacing w:before="1"/>
        <w:ind w:left="1021"/>
        <w:textAlignment w:val="auto"/>
        <w:outlineLvl w:val="9"/>
        <w:rPr>
          <w:rFonts w:hint="eastAsia" w:ascii="宋体" w:hAnsi="宋体" w:eastAsia="宋体" w:cs="宋体"/>
        </w:rPr>
      </w:pPr>
      <w:r>
        <w:rPr>
          <w:rFonts w:hint="eastAsia" w:ascii="宋体" w:hAnsi="宋体" w:eastAsia="宋体" w:cs="宋体"/>
        </w:rPr>
        <w:t>2、在施工程以及近年已竣工工程合同履行情况</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spacing w:before="4"/>
        <w:textAlignment w:val="auto"/>
        <w:outlineLvl w:val="9"/>
        <w:rPr>
          <w:rFonts w:hint="eastAsia" w:ascii="宋体" w:hAnsi="宋体" w:eastAsia="宋体" w:cs="宋体"/>
          <w:sz w:val="19"/>
        </w:rPr>
      </w:pPr>
    </w:p>
    <w:p>
      <w:pPr>
        <w:pStyle w:val="11"/>
        <w:keepNext w:val="0"/>
        <w:keepLines w:val="0"/>
        <w:pageBreakBefore w:val="0"/>
        <w:widowControl w:val="0"/>
        <w:tabs>
          <w:tab w:val="left" w:pos="1755"/>
        </w:tabs>
        <w:kinsoku/>
        <w:wordWrap/>
        <w:overflowPunct/>
        <w:topLinePunct w:val="0"/>
        <w:autoSpaceDE w:val="0"/>
        <w:autoSpaceDN w:val="0"/>
        <w:bidi w:val="0"/>
        <w:adjustRightInd/>
        <w:snapToGrid/>
        <w:spacing w:before="1"/>
        <w:ind w:left="1021"/>
        <w:textAlignment w:val="auto"/>
        <w:outlineLvl w:val="9"/>
        <w:rPr>
          <w:rFonts w:hint="eastAsia" w:ascii="宋体" w:hAnsi="宋体" w:eastAsia="宋体" w:cs="宋体"/>
        </w:rPr>
      </w:pPr>
      <w:r>
        <w:rPr>
          <w:rFonts w:hint="eastAsia" w:ascii="宋体" w:hAnsi="宋体" w:eastAsia="宋体" w:cs="宋体"/>
        </w:rPr>
        <w:t>3、其</w:t>
      </w:r>
      <w:r>
        <w:rPr>
          <w:rFonts w:hint="eastAsia" w:ascii="宋体" w:hAnsi="宋体" w:eastAsia="宋体" w:cs="宋体"/>
        </w:rPr>
        <w:tab/>
      </w:r>
      <w:r>
        <w:rPr>
          <w:rFonts w:hint="eastAsia" w:ascii="宋体" w:hAnsi="宋体" w:eastAsia="宋体" w:cs="宋体"/>
        </w:rPr>
        <w:t>他</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0"/>
        </w:rPr>
      </w:pP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25"/>
        </w:rPr>
      </w:pPr>
    </w:p>
    <w:p>
      <w:pPr>
        <w:pStyle w:val="11"/>
        <w:keepNext w:val="0"/>
        <w:keepLines w:val="0"/>
        <w:pageBreakBefore w:val="0"/>
        <w:widowControl w:val="0"/>
        <w:kinsoku/>
        <w:wordWrap/>
        <w:overflowPunct/>
        <w:topLinePunct w:val="0"/>
        <w:autoSpaceDE w:val="0"/>
        <w:autoSpaceDN w:val="0"/>
        <w:bidi w:val="0"/>
        <w:adjustRightInd/>
        <w:snapToGrid/>
        <w:spacing w:line="393" w:lineRule="auto"/>
        <w:ind w:left="1966" w:right="1249" w:hanging="945"/>
        <w:jc w:val="both"/>
        <w:textAlignment w:val="auto"/>
        <w:outlineLvl w:val="9"/>
        <w:rPr>
          <w:rFonts w:hint="eastAsia" w:ascii="宋体" w:hAnsi="宋体" w:eastAsia="宋体" w:cs="宋体"/>
        </w:rPr>
      </w:pPr>
      <w:r>
        <w:rPr>
          <w:rFonts w:hint="eastAsia" w:ascii="宋体" w:hAnsi="宋体" w:eastAsia="宋体" w:cs="宋体"/>
        </w:rPr>
        <w:t>备注：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w:t>
      </w:r>
    </w:p>
    <w:p>
      <w:pPr>
        <w:pStyle w:val="11"/>
        <w:keepNext w:val="0"/>
        <w:keepLines w:val="0"/>
        <w:pageBreakBefore w:val="0"/>
        <w:widowControl w:val="0"/>
        <w:kinsoku/>
        <w:wordWrap/>
        <w:overflowPunct/>
        <w:topLinePunct w:val="0"/>
        <w:autoSpaceDE w:val="0"/>
        <w:autoSpaceDN w:val="0"/>
        <w:bidi w:val="0"/>
        <w:adjustRightInd/>
        <w:snapToGrid/>
        <w:spacing w:line="393" w:lineRule="auto"/>
        <w:ind w:left="1966" w:right="1039" w:hanging="315"/>
        <w:textAlignment w:val="auto"/>
        <w:outlineLvl w:val="9"/>
        <w:rPr>
          <w:rFonts w:hint="eastAsia" w:ascii="宋体" w:hAnsi="宋体" w:eastAsia="宋体" w:cs="宋体"/>
        </w:rPr>
      </w:pPr>
      <w:r>
        <w:rPr>
          <w:rFonts w:hint="eastAsia" w:ascii="宋体" w:hAnsi="宋体" w:eastAsia="宋体" w:cs="宋体"/>
        </w:rPr>
        <w:t>2</w:t>
      </w:r>
      <w:r>
        <w:rPr>
          <w:rFonts w:hint="eastAsia" w:ascii="宋体" w:hAnsi="宋体" w:eastAsia="宋体" w:cs="宋体"/>
          <w:spacing w:val="-1"/>
        </w:rPr>
        <w:t>、合同履行情况主要是投标人近年所承接工程和已竣工工程是否按合同约定的工期、</w:t>
      </w:r>
      <w:r>
        <w:rPr>
          <w:rFonts w:hint="eastAsia" w:ascii="宋体" w:hAnsi="宋体" w:eastAsia="宋体" w:cs="宋体"/>
        </w:rPr>
        <w:t>质量、安全等履行合同义务，对未竣工工程合同履行情况还应重点说明非不可抗 力解除合同（如果有)的原因等具体情况，等等。</w:t>
      </w:r>
    </w:p>
    <w:p>
      <w:pPr>
        <w:keepNext w:val="0"/>
        <w:keepLines w:val="0"/>
        <w:pageBreakBefore w:val="0"/>
        <w:widowControl w:val="0"/>
        <w:kinsoku/>
        <w:wordWrap/>
        <w:overflowPunct/>
        <w:topLinePunct w:val="0"/>
        <w:autoSpaceDE w:val="0"/>
        <w:autoSpaceDN w:val="0"/>
        <w:bidi w:val="0"/>
        <w:adjustRightInd/>
        <w:snapToGrid/>
        <w:spacing w:after="0" w:line="393" w:lineRule="auto"/>
        <w:textAlignment w:val="auto"/>
        <w:outlineLvl w:val="9"/>
        <w:rPr>
          <w:rFonts w:hint="eastAsia" w:ascii="宋体" w:hAnsi="宋体" w:eastAsia="宋体" w:cs="宋体"/>
        </w:rPr>
        <w:sectPr>
          <w:pgSz w:w="11910" w:h="16840"/>
          <w:pgMar w:top="1417" w:right="1701" w:bottom="1417" w:left="1701" w:header="720" w:footer="720" w:gutter="0"/>
          <w:pgNumType w:fmt="decimal"/>
          <w:cols w:space="425" w:num="1"/>
          <w:rtlGutter w:val="0"/>
          <w:docGrid w:linePitch="0" w:charSpace="0"/>
        </w:sectPr>
      </w:pPr>
    </w:p>
    <w:p>
      <w:pPr>
        <w:pStyle w:val="11"/>
        <w:keepNext w:val="0"/>
        <w:keepLines w:val="0"/>
        <w:pageBreakBefore w:val="0"/>
        <w:widowControl w:val="0"/>
        <w:kinsoku/>
        <w:wordWrap/>
        <w:overflowPunct/>
        <w:topLinePunct w:val="0"/>
        <w:autoSpaceDE w:val="0"/>
        <w:autoSpaceDN w:val="0"/>
        <w:bidi w:val="0"/>
        <w:adjustRightInd/>
        <w:snapToGrid/>
        <w:spacing w:before="7"/>
        <w:textAlignment w:val="auto"/>
        <w:outlineLvl w:val="9"/>
        <w:rPr>
          <w:rFonts w:hint="eastAsia" w:ascii="宋体" w:hAnsi="宋体" w:eastAsia="宋体" w:cs="宋体"/>
          <w:sz w:val="15"/>
        </w:rPr>
      </w:pPr>
    </w:p>
    <w:p>
      <w:pPr>
        <w:keepNext w:val="0"/>
        <w:keepLines w:val="0"/>
        <w:pageBreakBefore w:val="0"/>
        <w:widowControl w:val="0"/>
        <w:kinsoku/>
        <w:wordWrap/>
        <w:overflowPunct/>
        <w:topLinePunct w:val="0"/>
        <w:autoSpaceDE w:val="0"/>
        <w:autoSpaceDN w:val="0"/>
        <w:bidi w:val="0"/>
        <w:adjustRightInd/>
        <w:snapToGrid/>
        <w:spacing w:line="539" w:lineRule="exact"/>
        <w:ind w:left="1021"/>
        <w:textAlignment w:val="auto"/>
        <w:outlineLvl w:val="9"/>
        <w:rPr>
          <w:rFonts w:hint="eastAsia" w:ascii="宋体" w:hAnsi="宋体" w:eastAsia="宋体" w:cs="宋体"/>
        </w:rPr>
      </w:pPr>
      <w:bookmarkStart w:id="1380" w:name="_bookmark21"/>
      <w:bookmarkEnd w:id="1380"/>
      <w:bookmarkStart w:id="1381" w:name="_Toc16903"/>
      <w:bookmarkStart w:id="1382" w:name="_Toc8388"/>
      <w:bookmarkStart w:id="1383" w:name="_Toc22330"/>
      <w:r>
        <w:rPr>
          <w:rFonts w:hint="eastAsia" w:cs="宋体"/>
          <w:lang w:eastAsia="zh-CN"/>
        </w:rPr>
        <w:t>八</w:t>
      </w:r>
      <w:r>
        <w:rPr>
          <w:rFonts w:hint="eastAsia" w:ascii="宋体" w:hAnsi="宋体" w:eastAsia="宋体" w:cs="宋体"/>
        </w:rPr>
        <w:t>、其他材料</w:t>
      </w:r>
      <w:bookmarkEnd w:id="1381"/>
      <w:bookmarkEnd w:id="1382"/>
      <w:bookmarkEnd w:id="1383"/>
    </w:p>
    <w:p>
      <w:pPr>
        <w:keepNext w:val="0"/>
        <w:keepLines w:val="0"/>
        <w:pageBreakBefore w:val="0"/>
        <w:widowControl w:val="0"/>
        <w:kinsoku/>
        <w:wordWrap/>
        <w:overflowPunct/>
        <w:topLinePunct w:val="0"/>
        <w:autoSpaceDE w:val="0"/>
        <w:autoSpaceDN w:val="0"/>
        <w:bidi w:val="0"/>
        <w:adjustRightInd/>
        <w:snapToGrid/>
        <w:spacing w:before="0" w:line="488" w:lineRule="exact"/>
        <w:ind w:left="399" w:right="418" w:firstLine="0"/>
        <w:jc w:val="center"/>
        <w:textAlignment w:val="auto"/>
        <w:outlineLvl w:val="9"/>
        <w:rPr>
          <w:rFonts w:hint="eastAsia" w:ascii="宋体" w:hAnsi="宋体" w:eastAsia="宋体" w:cs="宋体"/>
          <w:b/>
          <w:sz w:val="36"/>
        </w:rPr>
      </w:pPr>
      <w:bookmarkStart w:id="1384" w:name="_Toc17680"/>
      <w:bookmarkStart w:id="1385" w:name="_Toc18861"/>
      <w:bookmarkStart w:id="1386" w:name="_Toc17724"/>
      <w:r>
        <w:rPr>
          <w:rFonts w:hint="eastAsia" w:ascii="宋体" w:hAnsi="宋体" w:eastAsia="宋体" w:cs="宋体"/>
          <w:b/>
          <w:sz w:val="36"/>
        </w:rPr>
        <w:t>信用承诺书</w:t>
      </w:r>
      <w:bookmarkEnd w:id="1384"/>
      <w:bookmarkEnd w:id="1385"/>
      <w:bookmarkEnd w:id="1386"/>
    </w:p>
    <w:p>
      <w:pPr>
        <w:keepNext w:val="0"/>
        <w:keepLines w:val="0"/>
        <w:pageBreakBefore w:val="0"/>
        <w:widowControl w:val="0"/>
        <w:kinsoku/>
        <w:wordWrap/>
        <w:overflowPunct/>
        <w:topLinePunct w:val="0"/>
        <w:autoSpaceDE w:val="0"/>
        <w:autoSpaceDN w:val="0"/>
        <w:bidi w:val="0"/>
        <w:adjustRightInd/>
        <w:snapToGrid/>
        <w:spacing w:before="0" w:line="497" w:lineRule="exact"/>
        <w:ind w:left="399" w:right="418" w:firstLine="0"/>
        <w:jc w:val="center"/>
        <w:textAlignment w:val="auto"/>
        <w:outlineLvl w:val="9"/>
        <w:rPr>
          <w:rFonts w:hint="eastAsia" w:ascii="宋体" w:hAnsi="宋体" w:eastAsia="宋体" w:cs="宋体"/>
          <w:b/>
          <w:sz w:val="32"/>
        </w:rPr>
      </w:pPr>
      <w:bookmarkStart w:id="1387" w:name="_Toc17374"/>
      <w:r>
        <w:rPr>
          <w:rFonts w:hint="eastAsia" w:ascii="宋体" w:hAnsi="宋体" w:eastAsia="宋体" w:cs="宋体"/>
          <w:b/>
          <w:sz w:val="32"/>
        </w:rPr>
        <w:t>（投标单位范本）</w:t>
      </w:r>
      <w:bookmarkEnd w:id="1387"/>
    </w:p>
    <w:p>
      <w:pPr>
        <w:keepNext w:val="0"/>
        <w:keepLines w:val="0"/>
        <w:pageBreakBefore w:val="0"/>
        <w:widowControl w:val="0"/>
        <w:kinsoku/>
        <w:wordWrap/>
        <w:overflowPunct/>
        <w:topLinePunct w:val="0"/>
        <w:autoSpaceDE w:val="0"/>
        <w:autoSpaceDN w:val="0"/>
        <w:bidi w:val="0"/>
        <w:adjustRightInd/>
        <w:snapToGrid/>
        <w:spacing w:before="47" w:line="333" w:lineRule="auto"/>
        <w:ind w:right="1144" w:firstLine="560"/>
        <w:textAlignment w:val="auto"/>
        <w:outlineLvl w:val="9"/>
        <w:rPr>
          <w:rFonts w:hint="eastAsia" w:ascii="宋体" w:hAnsi="宋体" w:eastAsia="宋体" w:cs="宋体"/>
        </w:rPr>
      </w:pPr>
      <w:r>
        <w:rPr>
          <w:rFonts w:hint="eastAsia" w:ascii="宋体" w:hAnsi="宋体" w:eastAsia="宋体" w:cs="宋体"/>
        </w:rPr>
        <w:t>为营造我市公开、公平、公正、诚实守信的公共资源交易环境， 树立诚信守法的投标人形象，本人代表本单位作出以下承诺：</w:t>
      </w:r>
    </w:p>
    <w:p>
      <w:pPr>
        <w:keepNext w:val="0"/>
        <w:keepLines w:val="0"/>
        <w:pageBreakBefore w:val="0"/>
        <w:widowControl w:val="0"/>
        <w:kinsoku/>
        <w:wordWrap/>
        <w:overflowPunct/>
        <w:topLinePunct w:val="0"/>
        <w:autoSpaceDE w:val="0"/>
        <w:autoSpaceDN w:val="0"/>
        <w:bidi w:val="0"/>
        <w:adjustRightInd/>
        <w:snapToGrid/>
        <w:spacing w:before="3" w:line="333" w:lineRule="auto"/>
        <w:ind w:right="1144" w:firstLine="560"/>
        <w:jc w:val="both"/>
        <w:textAlignment w:val="auto"/>
        <w:outlineLvl w:val="9"/>
        <w:rPr>
          <w:rFonts w:hint="eastAsia" w:ascii="宋体" w:hAnsi="宋体" w:eastAsia="宋体" w:cs="宋体"/>
        </w:rPr>
      </w:pPr>
      <w:r>
        <w:rPr>
          <w:rFonts w:hint="eastAsia" w:ascii="宋体" w:hAnsi="宋体" w:eastAsia="宋体" w:cs="宋体"/>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keepNext w:val="0"/>
        <w:keepLines w:val="0"/>
        <w:pageBreakBefore w:val="0"/>
        <w:widowControl w:val="0"/>
        <w:kinsoku/>
        <w:wordWrap/>
        <w:overflowPunct/>
        <w:topLinePunct w:val="0"/>
        <w:autoSpaceDE w:val="0"/>
        <w:autoSpaceDN w:val="0"/>
        <w:bidi w:val="0"/>
        <w:adjustRightInd/>
        <w:snapToGrid/>
        <w:spacing w:before="5" w:line="333" w:lineRule="auto"/>
        <w:ind w:right="1004" w:firstLine="560"/>
        <w:textAlignment w:val="auto"/>
        <w:outlineLvl w:val="9"/>
        <w:rPr>
          <w:rFonts w:hint="eastAsia" w:ascii="宋体" w:hAnsi="宋体" w:eastAsia="宋体" w:cs="宋体"/>
        </w:rPr>
      </w:pPr>
      <w:r>
        <w:rPr>
          <w:rFonts w:hint="eastAsia" w:ascii="宋体" w:hAnsi="宋体" w:eastAsia="宋体" w:cs="宋体"/>
        </w:rPr>
        <w:t>（二)严格依照国家和河南省关于招标投标的法律、法规、规章、规范性文件，参加公共资源招标投标活动；积极履行社会责任，促进廉政建设；</w:t>
      </w:r>
    </w:p>
    <w:p>
      <w:pPr>
        <w:keepNext w:val="0"/>
        <w:keepLines w:val="0"/>
        <w:pageBreakBefore w:val="0"/>
        <w:widowControl w:val="0"/>
        <w:kinsoku/>
        <w:wordWrap/>
        <w:overflowPunct/>
        <w:topLinePunct w:val="0"/>
        <w:autoSpaceDE w:val="0"/>
        <w:autoSpaceDN w:val="0"/>
        <w:bidi w:val="0"/>
        <w:adjustRightInd/>
        <w:snapToGrid/>
        <w:spacing w:before="4" w:line="333" w:lineRule="auto"/>
        <w:ind w:right="864" w:firstLine="560"/>
        <w:textAlignment w:val="auto"/>
        <w:outlineLvl w:val="9"/>
        <w:rPr>
          <w:rFonts w:hint="eastAsia" w:ascii="宋体" w:hAnsi="宋体" w:eastAsia="宋体" w:cs="宋体"/>
        </w:rPr>
      </w:pPr>
      <w:r>
        <w:rPr>
          <w:rFonts w:hint="eastAsia" w:ascii="宋体" w:hAnsi="宋体" w:eastAsia="宋体" w:cs="宋体"/>
        </w:rPr>
        <w:t>（三）</w:t>
      </w:r>
      <w:r>
        <w:rPr>
          <w:rFonts w:hint="eastAsia" w:ascii="宋体" w:hAnsi="宋体" w:eastAsia="宋体" w:cs="宋体"/>
          <w:spacing w:val="-1"/>
        </w:rPr>
        <w:t>自我约束、自我管理，守合同、重信用，不参与围标串标、</w:t>
      </w:r>
      <w:r>
        <w:rPr>
          <w:rFonts w:hint="eastAsia" w:ascii="宋体" w:hAnsi="宋体" w:eastAsia="宋体" w:cs="宋体"/>
        </w:rPr>
        <w:t>弄虚作假、骗取中标、干扰评标、违约毁约等行为，自觉维护公共资 源招标投标的良好秩序；</w:t>
      </w:r>
    </w:p>
    <w:p>
      <w:pPr>
        <w:keepNext w:val="0"/>
        <w:keepLines w:val="0"/>
        <w:pageBreakBefore w:val="0"/>
        <w:widowControl w:val="0"/>
        <w:kinsoku/>
        <w:wordWrap/>
        <w:overflowPunct/>
        <w:topLinePunct w:val="0"/>
        <w:autoSpaceDE w:val="0"/>
        <w:autoSpaceDN w:val="0"/>
        <w:bidi w:val="0"/>
        <w:adjustRightInd/>
        <w:snapToGrid/>
        <w:spacing w:before="4"/>
        <w:ind w:firstLine="440" w:firstLineChars="200"/>
        <w:textAlignment w:val="auto"/>
        <w:outlineLvl w:val="9"/>
        <w:rPr>
          <w:rFonts w:hint="eastAsia" w:ascii="宋体" w:hAnsi="宋体" w:eastAsia="宋体" w:cs="宋体"/>
        </w:rPr>
      </w:pPr>
      <w:r>
        <w:rPr>
          <w:rFonts w:hint="eastAsia" w:ascii="宋体" w:hAnsi="宋体" w:eastAsia="宋体" w:cs="宋体"/>
        </w:rPr>
        <w:t>（四）自觉接受政府、行业组织、社会公众、新闻舆论的监督；</w:t>
      </w:r>
    </w:p>
    <w:p>
      <w:pPr>
        <w:keepNext w:val="0"/>
        <w:keepLines w:val="0"/>
        <w:pageBreakBefore w:val="0"/>
        <w:widowControl w:val="0"/>
        <w:kinsoku/>
        <w:wordWrap/>
        <w:overflowPunct/>
        <w:topLinePunct w:val="0"/>
        <w:autoSpaceDE w:val="0"/>
        <w:autoSpaceDN w:val="0"/>
        <w:bidi w:val="0"/>
        <w:adjustRightInd/>
        <w:snapToGrid/>
        <w:spacing w:before="141" w:line="333" w:lineRule="auto"/>
        <w:ind w:right="864" w:firstLine="560"/>
        <w:textAlignment w:val="auto"/>
        <w:outlineLvl w:val="9"/>
        <w:rPr>
          <w:rFonts w:hint="eastAsia" w:ascii="宋体" w:hAnsi="宋体" w:eastAsia="宋体" w:cs="宋体"/>
        </w:rPr>
      </w:pPr>
      <w:r>
        <w:rPr>
          <w:rFonts w:hint="eastAsia" w:ascii="宋体" w:hAnsi="宋体" w:eastAsia="宋体" w:cs="宋体"/>
        </w:rPr>
        <w:t>（五）本单位自愿接受招标投标综合监督管理机构和有关行政监 督部门的依法检查。如发生违法违规或不良行为，自愿接受招标投标 综合监督管理机构和有关行政监督部门依法给予的行政处罚（处理</w:t>
      </w:r>
      <w:r>
        <w:rPr>
          <w:rFonts w:hint="eastAsia" w:ascii="宋体" w:hAnsi="宋体" w:eastAsia="宋体" w:cs="宋体"/>
          <w:spacing w:val="-10"/>
        </w:rPr>
        <w:t xml:space="preserve">）， </w:t>
      </w:r>
      <w:r>
        <w:rPr>
          <w:rFonts w:hint="eastAsia" w:ascii="宋体" w:hAnsi="宋体" w:eastAsia="宋体" w:cs="宋体"/>
        </w:rPr>
        <w:t>并依法承担赔偿责任和刑事责任；</w:t>
      </w:r>
    </w:p>
    <w:p>
      <w:pPr>
        <w:keepNext w:val="0"/>
        <w:keepLines w:val="0"/>
        <w:pageBreakBefore w:val="0"/>
        <w:widowControl w:val="0"/>
        <w:kinsoku/>
        <w:wordWrap/>
        <w:overflowPunct/>
        <w:topLinePunct w:val="0"/>
        <w:autoSpaceDE w:val="0"/>
        <w:autoSpaceDN w:val="0"/>
        <w:bidi w:val="0"/>
        <w:adjustRightInd/>
        <w:snapToGrid/>
        <w:spacing w:before="6" w:line="333" w:lineRule="auto"/>
        <w:ind w:right="1284" w:firstLine="560"/>
        <w:textAlignment w:val="auto"/>
        <w:outlineLvl w:val="9"/>
        <w:rPr>
          <w:rFonts w:hint="eastAsia" w:ascii="宋体" w:hAnsi="宋体" w:eastAsia="宋体" w:cs="宋体"/>
        </w:rPr>
      </w:pPr>
      <w:r>
        <w:rPr>
          <w:rFonts w:hint="eastAsia" w:ascii="宋体" w:hAnsi="宋体" w:eastAsia="宋体" w:cs="宋体"/>
        </w:rPr>
        <w:t>（六)本人已认真阅读了上述承诺，并向本单位员工作了宣传教育。</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宋体" w:hAnsi="宋体" w:eastAsia="宋体" w:cs="宋体"/>
          <w:sz w:val="32"/>
        </w:rPr>
      </w:pPr>
    </w:p>
    <w:p>
      <w:pPr>
        <w:keepNext w:val="0"/>
        <w:keepLines w:val="0"/>
        <w:pageBreakBefore w:val="0"/>
        <w:widowControl w:val="0"/>
        <w:kinsoku/>
        <w:wordWrap/>
        <w:overflowPunct/>
        <w:topLinePunct w:val="0"/>
        <w:autoSpaceDE w:val="0"/>
        <w:autoSpaceDN w:val="0"/>
        <w:bidi w:val="0"/>
        <w:adjustRightInd/>
        <w:snapToGrid/>
        <w:spacing w:before="6" w:line="333" w:lineRule="auto"/>
        <w:ind w:right="1284" w:firstLine="560"/>
        <w:jc w:val="right"/>
        <w:textAlignment w:val="auto"/>
        <w:outlineLvl w:val="9"/>
        <w:rPr>
          <w:rFonts w:hint="eastAsia" w:ascii="宋体" w:hAnsi="宋体" w:eastAsia="宋体" w:cs="宋体"/>
        </w:rPr>
      </w:pPr>
      <w:bookmarkStart w:id="1388" w:name="_Toc4121"/>
      <w:bookmarkStart w:id="1389" w:name="_Toc7971"/>
      <w:bookmarkStart w:id="1390" w:name="_Toc3604"/>
      <w:r>
        <w:rPr>
          <w:rFonts w:hint="eastAsia" w:ascii="宋体" w:hAnsi="宋体" w:eastAsia="宋体" w:cs="宋体"/>
        </w:rPr>
        <w:t xml:space="preserve">法定代表人名（电子签章）: </w:t>
      </w:r>
    </w:p>
    <w:p>
      <w:pPr>
        <w:keepNext w:val="0"/>
        <w:keepLines w:val="0"/>
        <w:pageBreakBefore w:val="0"/>
        <w:widowControl w:val="0"/>
        <w:kinsoku/>
        <w:wordWrap/>
        <w:overflowPunct/>
        <w:topLinePunct w:val="0"/>
        <w:autoSpaceDE w:val="0"/>
        <w:autoSpaceDN w:val="0"/>
        <w:bidi w:val="0"/>
        <w:adjustRightInd/>
        <w:snapToGrid/>
        <w:spacing w:before="6" w:line="333" w:lineRule="auto"/>
        <w:ind w:right="1284" w:firstLine="560"/>
        <w:jc w:val="right"/>
        <w:textAlignment w:val="auto"/>
        <w:outlineLvl w:val="9"/>
        <w:rPr>
          <w:rFonts w:hint="eastAsia" w:ascii="宋体" w:hAnsi="宋体" w:eastAsia="宋体" w:cs="宋体"/>
        </w:rPr>
      </w:pPr>
      <w:r>
        <w:rPr>
          <w:rFonts w:hint="eastAsia" w:ascii="宋体" w:hAnsi="宋体" w:eastAsia="宋体" w:cs="宋体"/>
        </w:rPr>
        <w:t>企业名称（电子签章） :</w:t>
      </w:r>
      <w:bookmarkEnd w:id="1388"/>
      <w:bookmarkEnd w:id="1389"/>
      <w:bookmarkEnd w:id="1390"/>
    </w:p>
    <w:p>
      <w:pPr>
        <w:keepNext w:val="0"/>
        <w:keepLines w:val="0"/>
        <w:pageBreakBefore w:val="0"/>
        <w:widowControl w:val="0"/>
        <w:kinsoku/>
        <w:wordWrap/>
        <w:overflowPunct/>
        <w:topLinePunct w:val="0"/>
        <w:autoSpaceDE w:val="0"/>
        <w:autoSpaceDN w:val="0"/>
        <w:bidi w:val="0"/>
        <w:adjustRightInd/>
        <w:snapToGrid/>
        <w:spacing w:before="6" w:line="333" w:lineRule="auto"/>
        <w:ind w:right="1284" w:firstLine="560"/>
        <w:jc w:val="right"/>
        <w:textAlignment w:val="auto"/>
        <w:outlineLvl w:val="9"/>
        <w:rPr>
          <w:rFonts w:hint="eastAsia" w:ascii="宋体" w:hAnsi="宋体" w:eastAsia="宋体" w:cs="宋体"/>
        </w:rPr>
      </w:pPr>
      <w:bookmarkStart w:id="1391" w:name="_Toc6217"/>
      <w:bookmarkStart w:id="1392" w:name="_Toc19685"/>
      <w:bookmarkStart w:id="1393" w:name="_Toc25459"/>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bookmarkEnd w:id="1391"/>
      <w:bookmarkEnd w:id="1392"/>
      <w:bookmarkEnd w:id="1393"/>
    </w:p>
    <w:p>
      <w:pPr>
        <w:pStyle w:val="2"/>
        <w:rPr>
          <w:rFonts w:hint="eastAsia" w:ascii="宋体" w:hAnsi="宋体" w:eastAsia="宋体" w:cs="宋体"/>
          <w:b/>
          <w:sz w:val="28"/>
        </w:rPr>
      </w:pPr>
    </w:p>
    <w:p>
      <w:pPr>
        <w:rPr>
          <w:rFonts w:hint="eastAsia" w:ascii="宋体" w:hAnsi="宋体" w:eastAsia="宋体" w:cs="宋体"/>
          <w:b/>
          <w:sz w:val="28"/>
        </w:rPr>
      </w:pPr>
    </w:p>
    <w:p>
      <w:pPr>
        <w:rPr>
          <w:rFonts w:hint="eastAsia"/>
          <w:b/>
          <w:bCs/>
          <w:sz w:val="36"/>
          <w:szCs w:val="36"/>
        </w:rPr>
      </w:pPr>
      <w:r>
        <w:rPr>
          <w:rFonts w:hint="eastAsia"/>
          <w:b/>
          <w:bCs/>
          <w:sz w:val="36"/>
          <w:szCs w:val="36"/>
        </w:rPr>
        <w:br w:type="page"/>
      </w:r>
    </w:p>
    <w:p>
      <w:pPr>
        <w:jc w:val="center"/>
        <w:rPr>
          <w:b/>
          <w:bCs/>
          <w:sz w:val="40"/>
          <w:szCs w:val="40"/>
        </w:rPr>
      </w:pPr>
      <w:bookmarkStart w:id="1394" w:name="_Toc7346"/>
      <w:r>
        <w:rPr>
          <w:b/>
          <w:bCs/>
          <w:sz w:val="40"/>
          <w:szCs w:val="40"/>
        </w:rPr>
        <w:t>中小企业声明函</w:t>
      </w:r>
      <w:bookmarkEnd w:id="1394"/>
    </w:p>
    <w:p>
      <w:pPr>
        <w:pStyle w:val="11"/>
        <w:rPr>
          <w:b/>
          <w:sz w:val="24"/>
        </w:rPr>
      </w:pPr>
    </w:p>
    <w:p>
      <w:pPr>
        <w:pStyle w:val="11"/>
        <w:spacing w:before="183" w:line="417" w:lineRule="auto"/>
        <w:ind w:left="798" w:right="752" w:firstLine="420"/>
      </w:pPr>
      <w:r>
        <w:rPr>
          <w:spacing w:val="-23"/>
        </w:rPr>
        <w:t>本公司</w:t>
      </w:r>
      <w:r>
        <w:t>（联合体</w:t>
      </w:r>
      <w:r>
        <w:rPr>
          <w:spacing w:val="-70"/>
        </w:rPr>
        <w:t>）</w:t>
      </w:r>
      <w:r>
        <w:rPr>
          <w:spacing w:val="-13"/>
        </w:rPr>
        <w:t>郑重声明，根据《政府采购促进中小企业发展管理办法</w:t>
      </w:r>
      <w:r>
        <w:rPr>
          <w:spacing w:val="-140"/>
        </w:rPr>
        <w:t>》</w:t>
      </w:r>
      <w:r>
        <w:t>（财库﹝2020﹞46</w:t>
      </w:r>
      <w:r>
        <w:rPr>
          <w:spacing w:val="-11"/>
        </w:rPr>
        <w:t xml:space="preserve"> 号</w:t>
      </w:r>
      <w:r>
        <w:t xml:space="preserve">） </w:t>
      </w:r>
      <w:r>
        <w:rPr>
          <w:spacing w:val="-7"/>
        </w:rPr>
        <w:t xml:space="preserve">的规定，本公司 </w:t>
      </w:r>
      <w:r>
        <w:t>（联合体</w:t>
      </w:r>
      <w:r>
        <w:rPr>
          <w:spacing w:val="-13"/>
        </w:rPr>
        <w:t>）</w:t>
      </w:r>
      <w:r>
        <w:rPr>
          <w:spacing w:val="-5"/>
        </w:rPr>
        <w:t>参加</w:t>
      </w:r>
      <w:r>
        <w:rPr>
          <w:u w:val="single"/>
        </w:rPr>
        <w:t>（单位名称</w:t>
      </w:r>
      <w:r>
        <w:rPr>
          <w:spacing w:val="-13"/>
          <w:u w:val="single"/>
        </w:rPr>
        <w:t>）</w:t>
      </w:r>
      <w:r>
        <w:rPr>
          <w:spacing w:val="-10"/>
        </w:rPr>
        <w:t>的</w:t>
      </w:r>
      <w:r>
        <w:rPr>
          <w:u w:val="single"/>
        </w:rPr>
        <w:t>（项目名称</w:t>
      </w:r>
      <w:r>
        <w:rPr>
          <w:spacing w:val="-13"/>
          <w:u w:val="single"/>
        </w:rPr>
        <w:t>）</w:t>
      </w:r>
      <w:r>
        <w:rPr>
          <w:spacing w:val="-3"/>
        </w:rPr>
        <w:t>采购活动，提供的货物全部由符合政</w:t>
      </w:r>
      <w:r>
        <w:rPr>
          <w:spacing w:val="-4"/>
        </w:rPr>
        <w:t xml:space="preserve">策要求的中小企业制造。相关企业 </w:t>
      </w:r>
      <w:r>
        <w:t>（含联合体中的中小企业、签订分包意向协议的中小企业）</w:t>
      </w:r>
      <w:r>
        <w:rPr>
          <w:spacing w:val="-3"/>
        </w:rPr>
        <w:t xml:space="preserve"> 的具体情况如下：</w:t>
      </w:r>
    </w:p>
    <w:p>
      <w:pPr>
        <w:pStyle w:val="30"/>
        <w:numPr>
          <w:ilvl w:val="0"/>
          <w:numId w:val="6"/>
        </w:numPr>
        <w:tabs>
          <w:tab w:val="left" w:pos="1532"/>
          <w:tab w:val="left" w:pos="1533"/>
          <w:tab w:val="left" w:pos="3318"/>
          <w:tab w:val="left" w:pos="5312"/>
        </w:tabs>
        <w:spacing w:before="0" w:after="0" w:line="417" w:lineRule="auto"/>
        <w:ind w:left="798" w:right="752" w:firstLine="420"/>
        <w:jc w:val="left"/>
        <w:rPr>
          <w:sz w:val="21"/>
        </w:rPr>
      </w:pPr>
      <w:r>
        <w:rPr>
          <w:sz w:val="21"/>
          <w:u w:val="single"/>
        </w:rPr>
        <w:t>（标的名称）</w:t>
      </w:r>
      <w:r>
        <w:rPr>
          <w:spacing w:val="-21"/>
          <w:sz w:val="21"/>
        </w:rPr>
        <w:t xml:space="preserve"> </w:t>
      </w:r>
      <w:r>
        <w:rPr>
          <w:spacing w:val="-13"/>
          <w:sz w:val="21"/>
        </w:rPr>
        <w:t>，</w:t>
      </w:r>
      <w:r>
        <w:rPr>
          <w:sz w:val="21"/>
        </w:rPr>
        <w:t>属</w:t>
      </w:r>
      <w:r>
        <w:rPr>
          <w:spacing w:val="-10"/>
          <w:sz w:val="21"/>
        </w:rPr>
        <w:t>于</w:t>
      </w:r>
      <w:r>
        <w:rPr>
          <w:sz w:val="21"/>
          <w:u w:val="single"/>
        </w:rPr>
        <w:t>（采购文件中明确的所属行业）</w:t>
      </w:r>
      <w:r>
        <w:rPr>
          <w:spacing w:val="-21"/>
          <w:sz w:val="21"/>
        </w:rPr>
        <w:t xml:space="preserve"> </w:t>
      </w:r>
      <w:r>
        <w:rPr>
          <w:sz w:val="21"/>
        </w:rPr>
        <w:t>行业</w:t>
      </w:r>
      <w:r>
        <w:rPr>
          <w:spacing w:val="-13"/>
          <w:sz w:val="21"/>
        </w:rPr>
        <w:t>；</w:t>
      </w:r>
      <w:r>
        <w:rPr>
          <w:sz w:val="21"/>
        </w:rPr>
        <w:t>制造商</w:t>
      </w:r>
      <w:r>
        <w:rPr>
          <w:spacing w:val="-10"/>
          <w:sz w:val="21"/>
        </w:rPr>
        <w:t>为</w:t>
      </w:r>
      <w:r>
        <w:rPr>
          <w:sz w:val="21"/>
          <w:u w:val="single"/>
        </w:rPr>
        <w:t>（企业名称</w:t>
      </w:r>
      <w:r>
        <w:rPr>
          <w:spacing w:val="-13"/>
          <w:sz w:val="21"/>
          <w:u w:val="single"/>
        </w:rPr>
        <w:t>）</w:t>
      </w:r>
      <w:r>
        <w:rPr>
          <w:spacing w:val="-13"/>
          <w:sz w:val="21"/>
        </w:rPr>
        <w:t>，</w:t>
      </w:r>
      <w:r>
        <w:rPr>
          <w:sz w:val="21"/>
        </w:rPr>
        <w:t>从业人员</w:t>
      </w:r>
      <w:r>
        <w:rPr>
          <w:sz w:val="21"/>
          <w:u w:val="single"/>
        </w:rPr>
        <w:t xml:space="preserve"> </w:t>
      </w:r>
      <w:r>
        <w:rPr>
          <w:sz w:val="21"/>
          <w:u w:val="single"/>
        </w:rPr>
        <w:tab/>
      </w:r>
      <w:r>
        <w:rPr>
          <w:sz w:val="21"/>
        </w:rPr>
        <w:t>人，营业收入为</w:t>
      </w:r>
      <w:r>
        <w:rPr>
          <w:sz w:val="21"/>
          <w:u w:val="single"/>
        </w:rPr>
        <w:t xml:space="preserve"> </w:t>
      </w:r>
      <w:r>
        <w:rPr>
          <w:sz w:val="21"/>
          <w:u w:val="single"/>
        </w:rPr>
        <w:tab/>
      </w:r>
      <w:r>
        <w:rPr>
          <w:sz w:val="21"/>
        </w:rPr>
        <w:t>万元，资产总额为</w:t>
      </w:r>
      <w:r>
        <w:rPr>
          <w:sz w:val="21"/>
          <w:u w:val="single"/>
        </w:rPr>
        <w:t xml:space="preserve"> </w:t>
      </w:r>
      <w:r>
        <w:rPr>
          <w:sz w:val="21"/>
          <w:u w:val="single"/>
        </w:rPr>
        <w:tab/>
      </w:r>
      <w:r>
        <w:rPr>
          <w:w w:val="95"/>
          <w:sz w:val="21"/>
        </w:rPr>
        <w:t>万元，属于</w:t>
      </w:r>
      <w:r>
        <w:rPr>
          <w:w w:val="95"/>
          <w:sz w:val="21"/>
          <w:u w:val="single"/>
        </w:rPr>
        <w:t>（中型企业、小型企业、微型企业）</w:t>
      </w:r>
      <w:r>
        <w:rPr>
          <w:w w:val="95"/>
          <w:sz w:val="21"/>
        </w:rPr>
        <w:t>；</w:t>
      </w:r>
    </w:p>
    <w:p>
      <w:pPr>
        <w:pStyle w:val="30"/>
        <w:numPr>
          <w:ilvl w:val="0"/>
          <w:numId w:val="6"/>
        </w:numPr>
        <w:tabs>
          <w:tab w:val="left" w:pos="1532"/>
          <w:tab w:val="left" w:pos="1533"/>
          <w:tab w:val="left" w:pos="3303"/>
          <w:tab w:val="left" w:pos="5283"/>
        </w:tabs>
        <w:spacing w:before="0" w:after="0" w:line="417" w:lineRule="auto"/>
        <w:ind w:left="798" w:right="752" w:firstLine="420"/>
        <w:jc w:val="left"/>
        <w:rPr>
          <w:sz w:val="21"/>
        </w:rPr>
      </w:pPr>
      <w:r>
        <w:rPr>
          <w:sz w:val="21"/>
          <w:u w:val="single"/>
        </w:rPr>
        <w:t>（标的名称）</w:t>
      </w:r>
      <w:r>
        <w:rPr>
          <w:spacing w:val="-21"/>
          <w:sz w:val="21"/>
        </w:rPr>
        <w:t xml:space="preserve"> </w:t>
      </w:r>
      <w:r>
        <w:rPr>
          <w:spacing w:val="-13"/>
          <w:sz w:val="21"/>
        </w:rPr>
        <w:t>，</w:t>
      </w:r>
      <w:r>
        <w:rPr>
          <w:sz w:val="21"/>
        </w:rPr>
        <w:t>属</w:t>
      </w:r>
      <w:r>
        <w:rPr>
          <w:spacing w:val="-10"/>
          <w:sz w:val="21"/>
        </w:rPr>
        <w:t>于</w:t>
      </w:r>
      <w:r>
        <w:rPr>
          <w:sz w:val="21"/>
          <w:u w:val="single"/>
        </w:rPr>
        <w:t>（采购文件中明确的所属行业）</w:t>
      </w:r>
      <w:r>
        <w:rPr>
          <w:spacing w:val="-21"/>
          <w:sz w:val="21"/>
        </w:rPr>
        <w:t xml:space="preserve"> </w:t>
      </w:r>
      <w:r>
        <w:rPr>
          <w:sz w:val="21"/>
        </w:rPr>
        <w:t>行业</w:t>
      </w:r>
      <w:r>
        <w:rPr>
          <w:spacing w:val="-13"/>
          <w:sz w:val="21"/>
        </w:rPr>
        <w:t>；</w:t>
      </w:r>
      <w:r>
        <w:rPr>
          <w:sz w:val="21"/>
        </w:rPr>
        <w:t>制造商</w:t>
      </w:r>
      <w:r>
        <w:rPr>
          <w:spacing w:val="-10"/>
          <w:sz w:val="21"/>
        </w:rPr>
        <w:t>为</w:t>
      </w:r>
      <w:r>
        <w:rPr>
          <w:sz w:val="21"/>
          <w:u w:val="single"/>
        </w:rPr>
        <w:t>（企业名称</w:t>
      </w:r>
      <w:r>
        <w:rPr>
          <w:spacing w:val="-13"/>
          <w:sz w:val="21"/>
          <w:u w:val="single"/>
        </w:rPr>
        <w:t>）</w:t>
      </w:r>
      <w:r>
        <w:rPr>
          <w:spacing w:val="-13"/>
          <w:sz w:val="21"/>
        </w:rPr>
        <w:t>，</w:t>
      </w:r>
      <w:r>
        <w:rPr>
          <w:sz w:val="21"/>
        </w:rPr>
        <w:t>从业人员</w:t>
      </w:r>
      <w:r>
        <w:rPr>
          <w:sz w:val="21"/>
          <w:u w:val="single"/>
        </w:rPr>
        <w:t xml:space="preserve"> </w:t>
      </w:r>
      <w:r>
        <w:rPr>
          <w:sz w:val="21"/>
          <w:u w:val="single"/>
        </w:rPr>
        <w:tab/>
      </w:r>
      <w:r>
        <w:rPr>
          <w:sz w:val="21"/>
        </w:rPr>
        <w:t>人</w:t>
      </w:r>
      <w:r>
        <w:rPr>
          <w:spacing w:val="-15"/>
          <w:sz w:val="21"/>
        </w:rPr>
        <w:t>，</w:t>
      </w:r>
      <w:r>
        <w:rPr>
          <w:sz w:val="21"/>
        </w:rPr>
        <w:t>营业收入为</w:t>
      </w:r>
      <w:r>
        <w:rPr>
          <w:sz w:val="21"/>
          <w:u w:val="single"/>
        </w:rPr>
        <w:t xml:space="preserve"> </w:t>
      </w:r>
      <w:r>
        <w:rPr>
          <w:sz w:val="21"/>
          <w:u w:val="single"/>
        </w:rPr>
        <w:tab/>
      </w:r>
      <w:r>
        <w:rPr>
          <w:sz w:val="21"/>
        </w:rPr>
        <w:t>万元</w:t>
      </w:r>
      <w:r>
        <w:rPr>
          <w:spacing w:val="-15"/>
          <w:sz w:val="21"/>
        </w:rPr>
        <w:t>，</w:t>
      </w:r>
      <w:r>
        <w:rPr>
          <w:sz w:val="21"/>
        </w:rPr>
        <w:t>资产总额为</w:t>
      </w:r>
      <w:r>
        <w:rPr>
          <w:sz w:val="21"/>
          <w:u w:val="single"/>
        </w:rPr>
        <w:t xml:space="preserve"> </w:t>
      </w:r>
      <w:r>
        <w:rPr>
          <w:sz w:val="21"/>
          <w:u w:val="single"/>
        </w:rPr>
        <w:tab/>
      </w:r>
      <w:r>
        <w:rPr>
          <w:sz w:val="21"/>
        </w:rPr>
        <w:t>万元</w:t>
      </w:r>
      <w:r>
        <w:rPr>
          <w:spacing w:val="-15"/>
          <w:sz w:val="21"/>
        </w:rPr>
        <w:t>，</w:t>
      </w:r>
      <w:r>
        <w:rPr>
          <w:sz w:val="21"/>
        </w:rPr>
        <w:t>属</w:t>
      </w:r>
      <w:r>
        <w:rPr>
          <w:spacing w:val="-13"/>
          <w:sz w:val="21"/>
        </w:rPr>
        <w:t>于</w:t>
      </w:r>
      <w:r>
        <w:rPr>
          <w:sz w:val="21"/>
          <w:u w:val="single"/>
        </w:rPr>
        <w:t>（中型企业</w:t>
      </w:r>
      <w:r>
        <w:rPr>
          <w:spacing w:val="-15"/>
          <w:sz w:val="21"/>
          <w:u w:val="single"/>
        </w:rPr>
        <w:t>、</w:t>
      </w:r>
      <w:r>
        <w:rPr>
          <w:sz w:val="21"/>
          <w:u w:val="single"/>
        </w:rPr>
        <w:t>小型</w:t>
      </w:r>
      <w:r>
        <w:rPr>
          <w:spacing w:val="-16"/>
          <w:sz w:val="21"/>
          <w:u w:val="single"/>
        </w:rPr>
        <w:t xml:space="preserve"> </w:t>
      </w:r>
      <w:r>
        <w:rPr>
          <w:sz w:val="21"/>
          <w:u w:val="single"/>
        </w:rPr>
        <w:t>企业</w:t>
      </w:r>
      <w:r>
        <w:rPr>
          <w:spacing w:val="-15"/>
          <w:sz w:val="21"/>
          <w:u w:val="single"/>
        </w:rPr>
        <w:t>、</w:t>
      </w:r>
      <w:r>
        <w:rPr>
          <w:sz w:val="21"/>
          <w:u w:val="single"/>
        </w:rPr>
        <w:t>微型企业</w:t>
      </w:r>
      <w:r>
        <w:rPr>
          <w:spacing w:val="-7"/>
          <w:sz w:val="21"/>
          <w:u w:val="single"/>
        </w:rPr>
        <w:t>）</w:t>
      </w:r>
      <w:r>
        <w:rPr>
          <w:spacing w:val="-7"/>
          <w:sz w:val="21"/>
        </w:rPr>
        <w:t>；</w:t>
      </w:r>
    </w:p>
    <w:p>
      <w:pPr>
        <w:pStyle w:val="11"/>
        <w:spacing w:line="269" w:lineRule="exact"/>
        <w:ind w:left="1218"/>
      </w:pPr>
      <w:r>
        <w:t>……</w:t>
      </w:r>
    </w:p>
    <w:p>
      <w:pPr>
        <w:pStyle w:val="11"/>
        <w:spacing w:before="6"/>
        <w:rPr>
          <w:sz w:val="15"/>
        </w:rPr>
      </w:pPr>
    </w:p>
    <w:p>
      <w:pPr>
        <w:pStyle w:val="11"/>
        <w:ind w:left="1218"/>
      </w:pPr>
      <w:r>
        <w:t>以上企业，不属于大企业的分支机构，不存在控股股东 为大企业的情形，</w:t>
      </w:r>
    </w:p>
    <w:p>
      <w:pPr>
        <w:pStyle w:val="11"/>
        <w:spacing w:before="6"/>
        <w:rPr>
          <w:sz w:val="15"/>
        </w:rPr>
      </w:pPr>
    </w:p>
    <w:p>
      <w:pPr>
        <w:pStyle w:val="11"/>
        <w:spacing w:before="1" w:line="417" w:lineRule="auto"/>
        <w:ind w:left="798" w:right="854"/>
      </w:pPr>
      <w:r>
        <w:rPr>
          <w:spacing w:val="-5"/>
        </w:rPr>
        <w:t>也不存在与大企业的负责人为同一人的情形。 本企业对上述声明内容的真实性负责。如有虚假，将</w:t>
      </w:r>
      <w:r>
        <w:rPr>
          <w:spacing w:val="-2"/>
        </w:rPr>
        <w:t>依 法承担相应责任。</w:t>
      </w:r>
    </w:p>
    <w:p>
      <w:pPr>
        <w:pStyle w:val="11"/>
        <w:rPr>
          <w:sz w:val="20"/>
        </w:rPr>
      </w:pPr>
    </w:p>
    <w:p>
      <w:pPr>
        <w:pStyle w:val="11"/>
        <w:spacing w:before="6"/>
        <w:rPr>
          <w:sz w:val="16"/>
        </w:rPr>
      </w:pPr>
    </w:p>
    <w:p>
      <w:pPr>
        <w:pStyle w:val="11"/>
        <w:spacing w:line="417" w:lineRule="auto"/>
        <w:ind w:left="4998" w:right="3587" w:hanging="632"/>
      </w:pPr>
      <w:r>
        <w:t>企业名称（企业电子签章）： 日 期：</w:t>
      </w:r>
    </w:p>
    <w:p>
      <w:pPr>
        <w:pStyle w:val="11"/>
        <w:rPr>
          <w:sz w:val="20"/>
        </w:rPr>
      </w:pPr>
    </w:p>
    <w:p>
      <w:pPr>
        <w:pStyle w:val="11"/>
        <w:spacing w:before="6"/>
        <w:rPr>
          <w:sz w:val="16"/>
        </w:rPr>
      </w:pPr>
    </w:p>
    <w:p>
      <w:pPr>
        <w:pStyle w:val="11"/>
        <w:spacing w:line="417" w:lineRule="auto"/>
        <w:ind w:left="798" w:right="746" w:firstLine="420"/>
      </w:pPr>
      <w:r>
        <w:rPr>
          <w:spacing w:val="-9"/>
        </w:rPr>
        <w:t>财政部、工信部关于印发《政府采购促进中小企业发展管理办法》的通知</w:t>
      </w:r>
      <w:r>
        <w:t>（</w:t>
      </w:r>
      <w:r>
        <w:rPr>
          <w:spacing w:val="-10"/>
        </w:rPr>
        <w:t>财库〔</w:t>
      </w:r>
      <w:r>
        <w:t>2020</w:t>
      </w:r>
      <w:r>
        <w:rPr>
          <w:spacing w:val="-27"/>
        </w:rPr>
        <w:t>〕</w:t>
      </w:r>
      <w:r>
        <w:t>46</w:t>
      </w:r>
      <w:r>
        <w:rPr>
          <w:spacing w:val="-33"/>
        </w:rPr>
        <w:t xml:space="preserve"> 号</w:t>
      </w:r>
      <w:r>
        <w:t>） 规定：中小企业应当同时符合以下条件：</w:t>
      </w:r>
    </w:p>
    <w:p>
      <w:pPr>
        <w:pStyle w:val="30"/>
        <w:numPr>
          <w:ilvl w:val="0"/>
          <w:numId w:val="7"/>
        </w:numPr>
        <w:tabs>
          <w:tab w:val="left" w:pos="1430"/>
        </w:tabs>
        <w:spacing w:before="0" w:after="0" w:line="417" w:lineRule="auto"/>
        <w:ind w:left="798" w:right="752" w:firstLine="420"/>
        <w:jc w:val="left"/>
        <w:rPr>
          <w:sz w:val="21"/>
        </w:rPr>
      </w:pPr>
      <w:r>
        <w:rPr>
          <w:sz w:val="21"/>
        </w:rPr>
        <w:t>在中华人民共和国境内依法设立，依据国务院批准的中小企业划分标准确定的中型企业、小</w:t>
      </w:r>
      <w:r>
        <w:rPr>
          <w:spacing w:val="-7"/>
          <w:w w:val="95"/>
          <w:sz w:val="21"/>
        </w:rPr>
        <w:t>型企业和微型企业，但与大企业的负责人为同一人，或者与大企业存在直接控股、管理关系的除外。</w:t>
      </w:r>
    </w:p>
    <w:p>
      <w:pPr>
        <w:pStyle w:val="30"/>
        <w:numPr>
          <w:ilvl w:val="0"/>
          <w:numId w:val="7"/>
        </w:numPr>
        <w:tabs>
          <w:tab w:val="left" w:pos="1430"/>
        </w:tabs>
        <w:spacing w:before="0" w:after="0" w:line="269" w:lineRule="exact"/>
        <w:ind w:left="1429" w:right="0" w:hanging="212"/>
        <w:jc w:val="left"/>
        <w:rPr>
          <w:sz w:val="21"/>
        </w:rPr>
      </w:pPr>
      <w:r>
        <w:rPr>
          <w:sz w:val="21"/>
        </w:rPr>
        <w:t>在货物采购项目中，货物由中小企业制造，即货物由中小企业生产且使用该中小企</w:t>
      </w:r>
    </w:p>
    <w:p>
      <w:pPr>
        <w:pStyle w:val="11"/>
        <w:spacing w:before="7"/>
        <w:rPr>
          <w:sz w:val="15"/>
        </w:rPr>
      </w:pPr>
    </w:p>
    <w:p>
      <w:pPr>
        <w:pStyle w:val="11"/>
        <w:spacing w:line="417" w:lineRule="auto"/>
        <w:ind w:left="798" w:right="856"/>
      </w:pPr>
      <w:r>
        <w:rPr>
          <w:w w:val="95"/>
        </w:rPr>
        <w:t xml:space="preserve">业商号或者注册商标；在货物采购项目中，供应商提供的货物既有中小企业制造货物，也有大型企   </w:t>
      </w:r>
      <w:r>
        <w:t>业制造货物的，不享受本办法规定的中小企业扶持政策。</w:t>
      </w:r>
    </w:p>
    <w:p>
      <w:pPr>
        <w:pStyle w:val="5"/>
        <w:spacing w:line="417" w:lineRule="auto"/>
        <w:ind w:left="798" w:right="825" w:firstLine="0"/>
        <w:rPr>
          <w:sz w:val="22"/>
          <w:szCs w:val="22"/>
        </w:rPr>
      </w:pPr>
      <w:r>
        <w:rPr>
          <w:w w:val="95"/>
          <w:sz w:val="22"/>
          <w:szCs w:val="22"/>
        </w:rPr>
        <w:t>（</w:t>
      </w:r>
      <w:r>
        <w:rPr>
          <w:spacing w:val="-5"/>
          <w:w w:val="95"/>
          <w:sz w:val="22"/>
          <w:szCs w:val="22"/>
        </w:rPr>
        <w:t xml:space="preserve">提醒：如果响应人所投产品的制造商不符合小型、微型企业认定标准的，则不需要提供《中小企   </w:t>
      </w:r>
      <w:r>
        <w:rPr>
          <w:spacing w:val="-5"/>
          <w:sz w:val="22"/>
          <w:szCs w:val="22"/>
        </w:rPr>
        <w:t>业声明函》。否则，因此导致虚假投标的后果由响应人自行承担。）</w:t>
      </w:r>
    </w:p>
    <w:p>
      <w:pPr>
        <w:spacing w:after="0" w:line="417" w:lineRule="auto"/>
        <w:rPr>
          <w:sz w:val="20"/>
          <w:szCs w:val="20"/>
        </w:rPr>
        <w:sectPr>
          <w:pgSz w:w="11910" w:h="16840"/>
          <w:pgMar w:top="1320" w:right="600" w:bottom="1260" w:left="620" w:header="878" w:footer="1066" w:gutter="0"/>
          <w:pgNumType w:fmt="decimal"/>
          <w:cols w:space="720" w:num="1"/>
        </w:sectPr>
      </w:pPr>
    </w:p>
    <w:p>
      <w:pPr>
        <w:jc w:val="center"/>
        <w:rPr>
          <w:b/>
          <w:bCs/>
          <w:sz w:val="40"/>
          <w:szCs w:val="40"/>
        </w:rPr>
      </w:pPr>
      <w:bookmarkStart w:id="1395" w:name="_Toc31378"/>
      <w:r>
        <w:rPr>
          <w:b/>
          <w:bCs/>
          <w:sz w:val="40"/>
          <w:szCs w:val="40"/>
        </w:rPr>
        <w:t>残疾人福利性单位声明函</w:t>
      </w:r>
      <w:bookmarkEnd w:id="1395"/>
    </w:p>
    <w:p>
      <w:pPr>
        <w:pStyle w:val="11"/>
        <w:rPr>
          <w:b/>
          <w:sz w:val="24"/>
        </w:rPr>
      </w:pPr>
    </w:p>
    <w:p>
      <w:pPr>
        <w:pStyle w:val="11"/>
        <w:spacing w:before="6"/>
        <w:rPr>
          <w:b/>
          <w:sz w:val="26"/>
        </w:rPr>
      </w:pPr>
    </w:p>
    <w:p>
      <w:pPr>
        <w:pStyle w:val="11"/>
        <w:tabs>
          <w:tab w:val="left" w:pos="2521"/>
          <w:tab w:val="left" w:pos="3903"/>
        </w:tabs>
        <w:spacing w:line="417" w:lineRule="auto"/>
        <w:ind w:left="798" w:right="866" w:firstLine="444"/>
        <w:jc w:val="both"/>
        <w:rPr>
          <w:spacing w:val="11"/>
        </w:rPr>
      </w:pPr>
      <w:r>
        <w:rPr>
          <w:spacing w:val="14"/>
        </w:rPr>
        <w:t>本</w:t>
      </w:r>
      <w:r>
        <w:rPr>
          <w:spacing w:val="11"/>
        </w:rPr>
        <w:t>单</w:t>
      </w:r>
      <w:r>
        <w:rPr>
          <w:spacing w:val="14"/>
        </w:rPr>
        <w:t>位</w:t>
      </w:r>
      <w:r>
        <w:rPr>
          <w:spacing w:val="11"/>
        </w:rPr>
        <w:t>郑</w:t>
      </w:r>
      <w:r>
        <w:rPr>
          <w:spacing w:val="14"/>
        </w:rPr>
        <w:t>重</w:t>
      </w:r>
      <w:r>
        <w:rPr>
          <w:spacing w:val="11"/>
        </w:rPr>
        <w:t>声明</w:t>
      </w:r>
      <w:r>
        <w:rPr>
          <w:spacing w:val="-29"/>
        </w:rPr>
        <w:t>，</w:t>
      </w:r>
      <w:r>
        <w:rPr>
          <w:spacing w:val="14"/>
        </w:rPr>
        <w:t>根</w:t>
      </w:r>
      <w:r>
        <w:rPr>
          <w:spacing w:val="-29"/>
        </w:rPr>
        <w:t>据</w:t>
      </w:r>
      <w:r>
        <w:rPr>
          <w:spacing w:val="14"/>
        </w:rPr>
        <w:t>《财</w:t>
      </w:r>
      <w:r>
        <w:rPr>
          <w:spacing w:val="11"/>
        </w:rPr>
        <w:t>政</w:t>
      </w:r>
      <w:r>
        <w:t>部</w:t>
      </w:r>
      <w:r>
        <w:rPr>
          <w:spacing w:val="6"/>
        </w:rPr>
        <w:t xml:space="preserve"> </w:t>
      </w:r>
      <w:r>
        <w:rPr>
          <w:spacing w:val="14"/>
        </w:rPr>
        <w:t>民</w:t>
      </w:r>
      <w:r>
        <w:rPr>
          <w:spacing w:val="11"/>
        </w:rPr>
        <w:t>政</w:t>
      </w:r>
      <w:r>
        <w:t>部</w:t>
      </w:r>
      <w:r>
        <w:rPr>
          <w:spacing w:val="7"/>
        </w:rPr>
        <w:t xml:space="preserve"> </w:t>
      </w:r>
      <w:r>
        <w:rPr>
          <w:spacing w:val="14"/>
        </w:rPr>
        <w:t>中</w:t>
      </w:r>
      <w:r>
        <w:rPr>
          <w:spacing w:val="11"/>
        </w:rPr>
        <w:t>国</w:t>
      </w:r>
      <w:r>
        <w:rPr>
          <w:spacing w:val="14"/>
        </w:rPr>
        <w:t>残</w:t>
      </w:r>
      <w:r>
        <w:rPr>
          <w:spacing w:val="11"/>
        </w:rPr>
        <w:t>疾</w:t>
      </w:r>
      <w:r>
        <w:rPr>
          <w:spacing w:val="14"/>
        </w:rPr>
        <w:t>人</w:t>
      </w:r>
      <w:r>
        <w:rPr>
          <w:spacing w:val="11"/>
        </w:rPr>
        <w:t>联</w:t>
      </w:r>
      <w:r>
        <w:rPr>
          <w:spacing w:val="14"/>
        </w:rPr>
        <w:t>合</w:t>
      </w:r>
      <w:r>
        <w:rPr>
          <w:spacing w:val="11"/>
        </w:rPr>
        <w:t>会</w:t>
      </w:r>
      <w:r>
        <w:rPr>
          <w:spacing w:val="14"/>
        </w:rPr>
        <w:t>关</w:t>
      </w:r>
      <w:r>
        <w:rPr>
          <w:spacing w:val="11"/>
        </w:rPr>
        <w:t>于</w:t>
      </w:r>
      <w:r>
        <w:rPr>
          <w:spacing w:val="14"/>
        </w:rPr>
        <w:t>促</w:t>
      </w:r>
      <w:r>
        <w:rPr>
          <w:spacing w:val="11"/>
        </w:rPr>
        <w:t>进</w:t>
      </w:r>
      <w:r>
        <w:rPr>
          <w:spacing w:val="14"/>
        </w:rPr>
        <w:t>残</w:t>
      </w:r>
      <w:r>
        <w:rPr>
          <w:spacing w:val="11"/>
        </w:rPr>
        <w:t>疾</w:t>
      </w:r>
      <w:r>
        <w:rPr>
          <w:spacing w:val="14"/>
        </w:rPr>
        <w:t>人</w:t>
      </w:r>
      <w:r>
        <w:rPr>
          <w:spacing w:val="11"/>
        </w:rPr>
        <w:t>就</w:t>
      </w:r>
      <w:r>
        <w:rPr>
          <w:spacing w:val="14"/>
        </w:rPr>
        <w:t>业</w:t>
      </w:r>
      <w:r>
        <w:rPr>
          <w:spacing w:val="11"/>
        </w:rPr>
        <w:t>政</w:t>
      </w:r>
      <w:r>
        <w:rPr>
          <w:spacing w:val="14"/>
        </w:rPr>
        <w:t>府</w:t>
      </w:r>
      <w:r>
        <w:rPr>
          <w:spacing w:val="11"/>
        </w:rPr>
        <w:t>采</w:t>
      </w:r>
      <w:r>
        <w:t>购</w:t>
      </w:r>
      <w:r>
        <w:rPr>
          <w:spacing w:val="14"/>
        </w:rPr>
        <w:t>政策的通知</w:t>
      </w:r>
      <w:r>
        <w:rPr>
          <w:spacing w:val="16"/>
        </w:rPr>
        <w:t>》</w:t>
      </w:r>
      <w:r>
        <w:rPr>
          <w:spacing w:val="14"/>
        </w:rPr>
        <w:t>（财</w:t>
      </w:r>
      <w:r>
        <w:rPr>
          <w:spacing w:val="11"/>
        </w:rPr>
        <w:t>库</w:t>
      </w:r>
      <w:r>
        <w:rPr>
          <w:spacing w:val="4"/>
        </w:rPr>
        <w:t>〔</w:t>
      </w:r>
      <w:r>
        <w:t>2017〕141</w:t>
      </w:r>
      <w:r>
        <w:rPr>
          <w:spacing w:val="-78"/>
        </w:rPr>
        <w:t xml:space="preserve"> </w:t>
      </w:r>
      <w:r>
        <w:rPr>
          <w:spacing w:val="14"/>
        </w:rPr>
        <w:t>号）的规定</w:t>
      </w:r>
      <w:r>
        <w:rPr>
          <w:spacing w:val="16"/>
        </w:rPr>
        <w:t>，</w:t>
      </w:r>
      <w:r>
        <w:rPr>
          <w:spacing w:val="14"/>
        </w:rPr>
        <w:t>本单位为符合条件的残</w:t>
      </w:r>
      <w:r>
        <w:rPr>
          <w:spacing w:val="16"/>
        </w:rPr>
        <w:t>疾</w:t>
      </w:r>
      <w:r>
        <w:rPr>
          <w:spacing w:val="14"/>
        </w:rPr>
        <w:t>人福利性单位，且</w:t>
      </w:r>
      <w:r>
        <w:t>本</w:t>
      </w:r>
      <w:r>
        <w:rPr>
          <w:spacing w:val="14"/>
        </w:rPr>
        <w:t>单位参加</w:t>
      </w:r>
      <w:r>
        <w:rPr>
          <w:spacing w:val="14"/>
          <w:u w:val="single"/>
        </w:rPr>
        <w:t xml:space="preserve"> </w:t>
      </w:r>
      <w:r>
        <w:rPr>
          <w:spacing w:val="14"/>
          <w:u w:val="single"/>
        </w:rPr>
        <w:tab/>
      </w:r>
      <w:r>
        <w:rPr>
          <w:rFonts w:hint="eastAsia"/>
          <w:spacing w:val="14"/>
          <w:u w:val="single"/>
          <w:lang w:val="en-US" w:eastAsia="zh-CN"/>
        </w:rPr>
        <w:t xml:space="preserve">      </w:t>
      </w:r>
      <w:r>
        <w:rPr>
          <w:spacing w:val="14"/>
        </w:rPr>
        <w:t>单位</w:t>
      </w:r>
      <w:r>
        <w:rPr>
          <w:spacing w:val="16"/>
        </w:rPr>
        <w:t>的</w:t>
      </w:r>
      <w:r>
        <w:rPr>
          <w:spacing w:val="16"/>
          <w:u w:val="single"/>
        </w:rPr>
        <w:t xml:space="preserve"> </w:t>
      </w:r>
      <w:r>
        <w:rPr>
          <w:spacing w:val="16"/>
          <w:u w:val="single"/>
        </w:rPr>
        <w:tab/>
      </w:r>
      <w:r>
        <w:rPr>
          <w:spacing w:val="11"/>
        </w:rPr>
        <w:t>项目采购活动提供本单位制造的货物（由本单位承担工程/提 供服务），或者提供其他残疾人福利性单位制造的货物（不包括使用非残疾人福利性单位注册商标的货物）。</w:t>
      </w:r>
    </w:p>
    <w:p>
      <w:pPr>
        <w:pStyle w:val="11"/>
        <w:spacing w:line="268" w:lineRule="exact"/>
        <w:ind w:left="1242"/>
      </w:pPr>
      <w:r>
        <w:t>本单位对上述声明的真实性负责。如有虚假，将依法承担相应责任。</w:t>
      </w:r>
    </w:p>
    <w:p>
      <w:pPr>
        <w:pStyle w:val="11"/>
        <w:rPr>
          <w:sz w:val="20"/>
        </w:rPr>
      </w:pPr>
    </w:p>
    <w:p>
      <w:pPr>
        <w:pStyle w:val="11"/>
        <w:rPr>
          <w:sz w:val="20"/>
        </w:rPr>
      </w:pPr>
    </w:p>
    <w:p>
      <w:pPr>
        <w:pStyle w:val="11"/>
        <w:spacing w:before="154"/>
        <w:jc w:val="right"/>
      </w:pPr>
      <w:r>
        <w:t xml:space="preserve">企业名称（企业电子签章）： </w:t>
      </w:r>
    </w:p>
    <w:p>
      <w:pPr>
        <w:pStyle w:val="11"/>
        <w:spacing w:before="7"/>
        <w:rPr>
          <w:sz w:val="15"/>
        </w:rPr>
      </w:pPr>
    </w:p>
    <w:p>
      <w:pPr>
        <w:pStyle w:val="11"/>
        <w:ind w:left="6836"/>
      </w:pPr>
      <w:r>
        <w:t>日 期：</w:t>
      </w:r>
    </w:p>
    <w:p>
      <w:pPr>
        <w:pStyle w:val="11"/>
        <w:rPr>
          <w:sz w:val="20"/>
        </w:rPr>
      </w:pPr>
    </w:p>
    <w:p>
      <w:pPr>
        <w:pStyle w:val="11"/>
        <w:rPr>
          <w:sz w:val="20"/>
        </w:rPr>
      </w:pPr>
    </w:p>
    <w:p>
      <w:pPr>
        <w:pStyle w:val="5"/>
        <w:spacing w:before="155"/>
        <w:ind w:left="798" w:firstLine="0"/>
        <w:rPr>
          <w:sz w:val="22"/>
          <w:szCs w:val="22"/>
        </w:rPr>
      </w:pPr>
      <w:r>
        <w:rPr>
          <w:sz w:val="22"/>
          <w:szCs w:val="22"/>
        </w:rPr>
        <w:t>（提醒：如果供应商不是残疾人福利性单位，则不需要提供《残疾人福利性单位声明函》。否则，因此导致虚假投标的后果由供应商自行承担。）</w:t>
      </w:r>
    </w:p>
    <w:p>
      <w:pPr>
        <w:pStyle w:val="11"/>
        <w:rPr>
          <w:b/>
          <w:sz w:val="16"/>
          <w:szCs w:val="18"/>
        </w:rPr>
      </w:pPr>
    </w:p>
    <w:p>
      <w:pPr>
        <w:pStyle w:val="11"/>
        <w:rPr>
          <w:b/>
          <w:sz w:val="16"/>
          <w:szCs w:val="18"/>
        </w:rPr>
      </w:pPr>
    </w:p>
    <w:p>
      <w:pPr>
        <w:pStyle w:val="11"/>
        <w:spacing w:before="155" w:line="240" w:lineRule="auto"/>
        <w:ind w:left="798" w:right="856"/>
      </w:pPr>
      <w:r>
        <w:t xml:space="preserve">《财政部民政部中国残疾人联合会关于促进残疾人就业政府采购政策的通知》（财库 </w:t>
      </w:r>
      <w:r>
        <w:rPr>
          <w:rFonts w:ascii="Times New Roman" w:eastAsia="Times New Roman"/>
        </w:rPr>
        <w:t>2017</w:t>
      </w:r>
      <w:r>
        <w:t>〔</w:t>
      </w:r>
      <w:r>
        <w:rPr>
          <w:rFonts w:ascii="Times New Roman" w:eastAsia="Times New Roman"/>
        </w:rPr>
        <w:t>141</w:t>
      </w:r>
      <w:r>
        <w:t>〕号）的规定：</w:t>
      </w:r>
    </w:p>
    <w:p>
      <w:pPr>
        <w:pStyle w:val="30"/>
        <w:numPr>
          <w:ilvl w:val="0"/>
          <w:numId w:val="8"/>
        </w:numPr>
        <w:tabs>
          <w:tab w:val="left" w:pos="1480"/>
        </w:tabs>
        <w:spacing w:before="0" w:after="0" w:line="240" w:lineRule="auto"/>
        <w:ind w:left="1480" w:right="0" w:hanging="262"/>
        <w:jc w:val="left"/>
        <w:rPr>
          <w:sz w:val="21"/>
        </w:rPr>
      </w:pPr>
      <w:r>
        <w:rPr>
          <w:sz w:val="21"/>
        </w:rPr>
        <w:t>享受政府采购支持政策的残疾人福利性单位应当同时满足以下条件：</w:t>
      </w:r>
    </w:p>
    <w:p>
      <w:pPr>
        <w:pStyle w:val="11"/>
        <w:spacing w:before="6" w:line="240" w:lineRule="auto"/>
        <w:rPr>
          <w:sz w:val="15"/>
        </w:rPr>
      </w:pPr>
    </w:p>
    <w:p>
      <w:pPr>
        <w:pStyle w:val="30"/>
        <w:numPr>
          <w:ilvl w:val="0"/>
          <w:numId w:val="9"/>
        </w:numPr>
        <w:tabs>
          <w:tab w:val="left" w:pos="1327"/>
        </w:tabs>
        <w:spacing w:before="1" w:after="0" w:line="240" w:lineRule="auto"/>
        <w:ind w:left="798" w:right="854" w:firstLine="0"/>
        <w:jc w:val="left"/>
        <w:rPr>
          <w:sz w:val="21"/>
        </w:rPr>
      </w:pPr>
      <w:r>
        <w:rPr>
          <w:spacing w:val="-2"/>
          <w:sz w:val="21"/>
        </w:rPr>
        <w:t xml:space="preserve">安置的残疾人占本单位在职职工人数的比例不低于 </w:t>
      </w:r>
      <w:r>
        <w:rPr>
          <w:rFonts w:ascii="Times New Roman" w:eastAsia="Times New Roman"/>
          <w:sz w:val="21"/>
        </w:rPr>
        <w:t>25%</w:t>
      </w:r>
      <w:r>
        <w:rPr>
          <w:sz w:val="21"/>
        </w:rPr>
        <w:t>（</w:t>
      </w:r>
      <w:r>
        <w:rPr>
          <w:spacing w:val="-21"/>
          <w:sz w:val="21"/>
        </w:rPr>
        <w:t xml:space="preserve">含 </w:t>
      </w:r>
      <w:r>
        <w:rPr>
          <w:rFonts w:ascii="Times New Roman" w:eastAsia="Times New Roman"/>
          <w:sz w:val="21"/>
        </w:rPr>
        <w:t>25%</w:t>
      </w:r>
      <w:r>
        <w:rPr>
          <w:sz w:val="21"/>
        </w:rPr>
        <w:t>），并且安置的残疾人人数</w:t>
      </w:r>
      <w:r>
        <w:rPr>
          <w:spacing w:val="-14"/>
          <w:sz w:val="21"/>
        </w:rPr>
        <w:t xml:space="preserve">不少于 </w:t>
      </w:r>
      <w:r>
        <w:rPr>
          <w:rFonts w:ascii="Times New Roman" w:eastAsia="Times New Roman"/>
          <w:sz w:val="21"/>
        </w:rPr>
        <w:t>10</w:t>
      </w:r>
      <w:r>
        <w:rPr>
          <w:rFonts w:ascii="Times New Roman" w:eastAsia="Times New Roman"/>
          <w:spacing w:val="1"/>
          <w:sz w:val="21"/>
        </w:rPr>
        <w:t xml:space="preserve"> </w:t>
      </w:r>
      <w:r>
        <w:rPr>
          <w:sz w:val="21"/>
        </w:rPr>
        <w:t>人（</w:t>
      </w:r>
      <w:r>
        <w:rPr>
          <w:spacing w:val="-27"/>
          <w:sz w:val="21"/>
        </w:rPr>
        <w:t xml:space="preserve">含 </w:t>
      </w:r>
      <w:r>
        <w:rPr>
          <w:rFonts w:ascii="Times New Roman" w:eastAsia="Times New Roman"/>
          <w:sz w:val="21"/>
        </w:rPr>
        <w:t>10</w:t>
      </w:r>
      <w:r>
        <w:rPr>
          <w:rFonts w:ascii="Times New Roman" w:eastAsia="Times New Roman"/>
          <w:spacing w:val="-2"/>
          <w:sz w:val="21"/>
        </w:rPr>
        <w:t xml:space="preserve"> </w:t>
      </w:r>
      <w:r>
        <w:rPr>
          <w:sz w:val="21"/>
        </w:rPr>
        <w:t>人）；</w:t>
      </w:r>
    </w:p>
    <w:p>
      <w:pPr>
        <w:pStyle w:val="30"/>
        <w:numPr>
          <w:ilvl w:val="0"/>
          <w:numId w:val="9"/>
        </w:numPr>
        <w:tabs>
          <w:tab w:val="left" w:pos="1323"/>
        </w:tabs>
        <w:spacing w:before="0" w:after="0" w:line="240" w:lineRule="auto"/>
        <w:ind w:left="1322" w:right="0" w:hanging="525"/>
        <w:jc w:val="left"/>
        <w:rPr>
          <w:sz w:val="21"/>
        </w:rPr>
      </w:pPr>
      <w:r>
        <w:rPr>
          <w:sz w:val="21"/>
        </w:rPr>
        <w:t>依法与安置的每位残疾人签订了一年以上（含一年）的劳动合同或服务协议；</w:t>
      </w:r>
    </w:p>
    <w:p>
      <w:pPr>
        <w:pStyle w:val="11"/>
        <w:spacing w:before="6" w:line="240" w:lineRule="auto"/>
        <w:rPr>
          <w:sz w:val="15"/>
        </w:rPr>
      </w:pPr>
    </w:p>
    <w:p>
      <w:pPr>
        <w:pStyle w:val="30"/>
        <w:numPr>
          <w:ilvl w:val="0"/>
          <w:numId w:val="9"/>
        </w:numPr>
        <w:tabs>
          <w:tab w:val="left" w:pos="1323"/>
        </w:tabs>
        <w:spacing w:before="0" w:after="0" w:line="240" w:lineRule="auto"/>
        <w:ind w:left="798" w:right="856" w:firstLine="0"/>
        <w:jc w:val="left"/>
        <w:rPr>
          <w:sz w:val="21"/>
        </w:rPr>
      </w:pPr>
      <w:r>
        <w:rPr>
          <w:spacing w:val="-4"/>
          <w:w w:val="95"/>
          <w:sz w:val="21"/>
        </w:rPr>
        <w:t xml:space="preserve">为安置的每位残疾人按月足额缴纳了基本养老保险、基本医疗保险、失业保险、工伤保险和生   </w:t>
      </w:r>
      <w:r>
        <w:rPr>
          <w:spacing w:val="-4"/>
          <w:sz w:val="21"/>
        </w:rPr>
        <w:t>育保险等社会保险费；</w:t>
      </w:r>
    </w:p>
    <w:p>
      <w:pPr>
        <w:pStyle w:val="30"/>
        <w:numPr>
          <w:ilvl w:val="0"/>
          <w:numId w:val="9"/>
        </w:numPr>
        <w:tabs>
          <w:tab w:val="left" w:pos="1323"/>
        </w:tabs>
        <w:spacing w:before="0" w:after="0" w:line="240" w:lineRule="auto"/>
        <w:ind w:left="798" w:right="856" w:firstLine="0"/>
        <w:jc w:val="left"/>
        <w:rPr>
          <w:sz w:val="21"/>
        </w:rPr>
      </w:pPr>
      <w:r>
        <w:rPr>
          <w:spacing w:val="-3"/>
          <w:sz w:val="21"/>
        </w:rPr>
        <w:t>通过银行等金融机构向安置的每位残疾人，按月支付了不低于单位所在区县适用的经省级人民政府批准的月最低工资标准的工资；</w:t>
      </w:r>
    </w:p>
    <w:p>
      <w:pPr>
        <w:pStyle w:val="30"/>
        <w:numPr>
          <w:ilvl w:val="0"/>
          <w:numId w:val="9"/>
        </w:numPr>
        <w:tabs>
          <w:tab w:val="left" w:pos="1323"/>
        </w:tabs>
        <w:spacing w:before="0" w:after="0" w:line="240" w:lineRule="auto"/>
        <w:ind w:left="798" w:right="854" w:firstLine="0"/>
        <w:jc w:val="left"/>
        <w:rPr>
          <w:sz w:val="21"/>
        </w:rPr>
      </w:pPr>
      <w:r>
        <w:rPr>
          <w:spacing w:val="-3"/>
          <w:w w:val="95"/>
          <w:sz w:val="21"/>
        </w:rPr>
        <w:t>提供本单位制造的货物、承担的工程或者服务</w:t>
      </w:r>
      <w:r>
        <w:rPr>
          <w:w w:val="95"/>
          <w:sz w:val="21"/>
        </w:rPr>
        <w:t>（以下简称产品</w:t>
      </w:r>
      <w:r>
        <w:rPr>
          <w:spacing w:val="-20"/>
          <w:w w:val="95"/>
          <w:sz w:val="21"/>
        </w:rPr>
        <w:t>）</w:t>
      </w:r>
      <w:r>
        <w:rPr>
          <w:spacing w:val="-5"/>
          <w:w w:val="95"/>
          <w:sz w:val="21"/>
        </w:rPr>
        <w:t xml:space="preserve">，或者提供其他残疾人福利性   </w:t>
      </w:r>
      <w:r>
        <w:rPr>
          <w:spacing w:val="-5"/>
          <w:sz w:val="21"/>
        </w:rPr>
        <w:t>单位制造的货物（不包括使用非残疾人福利性单位注册商标的货物）。</w:t>
      </w:r>
    </w:p>
    <w:p>
      <w:pPr>
        <w:pStyle w:val="30"/>
        <w:numPr>
          <w:ilvl w:val="0"/>
          <w:numId w:val="8"/>
        </w:numPr>
        <w:tabs>
          <w:tab w:val="left" w:pos="1480"/>
        </w:tabs>
        <w:spacing w:before="0" w:after="0" w:line="240" w:lineRule="auto"/>
        <w:ind w:left="798" w:right="856" w:firstLine="420"/>
        <w:jc w:val="left"/>
        <w:rPr>
          <w:sz w:val="21"/>
        </w:rPr>
      </w:pPr>
      <w:r>
        <w:rPr>
          <w:spacing w:val="-3"/>
          <w:w w:val="95"/>
          <w:sz w:val="21"/>
        </w:rPr>
        <w:t xml:space="preserve">成交人为残疾人福利性单位的，采购人或者其委托的采购代理机构应当随成交、成交结果同   </w:t>
      </w:r>
      <w:r>
        <w:rPr>
          <w:spacing w:val="-3"/>
          <w:sz w:val="21"/>
        </w:rPr>
        <w:t>时公告其《残疾人福利性单位声明函》，接受社会监督。</w:t>
      </w:r>
    </w:p>
    <w:p>
      <w:pPr>
        <w:numPr>
          <w:ilvl w:val="0"/>
          <w:numId w:val="0"/>
        </w:numPr>
        <w:ind w:right="0" w:rightChars="0"/>
        <w:jc w:val="center"/>
        <w:rPr>
          <w:rFonts w:hint="eastAsia"/>
          <w:b/>
          <w:bCs/>
          <w:sz w:val="36"/>
          <w:szCs w:val="36"/>
        </w:rPr>
      </w:pPr>
    </w:p>
    <w:p>
      <w:pPr>
        <w:rPr>
          <w:rFonts w:hint="eastAsia"/>
          <w:b/>
          <w:bCs/>
          <w:sz w:val="36"/>
          <w:szCs w:val="36"/>
        </w:rPr>
      </w:pPr>
      <w:r>
        <w:rPr>
          <w:rFonts w:hint="eastAsia"/>
          <w:b/>
          <w:bCs/>
          <w:sz w:val="36"/>
          <w:szCs w:val="36"/>
        </w:rPr>
        <w:br w:type="page"/>
      </w:r>
    </w:p>
    <w:p>
      <w:pPr>
        <w:numPr>
          <w:ilvl w:val="0"/>
          <w:numId w:val="0"/>
        </w:numPr>
        <w:ind w:right="0" w:rightChars="0"/>
        <w:jc w:val="center"/>
        <w:rPr>
          <w:rFonts w:hint="eastAsia"/>
          <w:b/>
          <w:bCs/>
          <w:sz w:val="36"/>
          <w:szCs w:val="36"/>
        </w:rPr>
      </w:pPr>
      <w:r>
        <w:rPr>
          <w:rFonts w:hint="eastAsia"/>
          <w:b/>
          <w:bCs/>
          <w:sz w:val="36"/>
          <w:szCs w:val="36"/>
        </w:rPr>
        <w:t>河南省政府采购合同融资政策告知函</w:t>
      </w:r>
    </w:p>
    <w:p>
      <w:pPr>
        <w:numPr>
          <w:ilvl w:val="0"/>
          <w:numId w:val="0"/>
        </w:numPr>
        <w:spacing w:line="360" w:lineRule="auto"/>
        <w:ind w:right="0" w:rightChars="0"/>
        <w:rPr>
          <w:rFonts w:hint="eastAsia"/>
          <w:sz w:val="28"/>
          <w:szCs w:val="28"/>
        </w:rPr>
      </w:pPr>
    </w:p>
    <w:p>
      <w:pPr>
        <w:numPr>
          <w:ilvl w:val="0"/>
          <w:numId w:val="0"/>
        </w:numPr>
        <w:spacing w:line="360" w:lineRule="auto"/>
        <w:ind w:right="0" w:rightChars="0"/>
        <w:rPr>
          <w:rFonts w:hint="eastAsia"/>
          <w:sz w:val="28"/>
          <w:szCs w:val="28"/>
        </w:rPr>
      </w:pPr>
      <w:r>
        <w:rPr>
          <w:rFonts w:hint="eastAsia"/>
          <w:sz w:val="28"/>
          <w:szCs w:val="28"/>
        </w:rPr>
        <w:t>各供应商：</w:t>
      </w:r>
    </w:p>
    <w:p>
      <w:pPr>
        <w:numPr>
          <w:ilvl w:val="0"/>
          <w:numId w:val="0"/>
        </w:numPr>
        <w:spacing w:line="360" w:lineRule="auto"/>
        <w:ind w:right="0" w:rightChars="0"/>
        <w:rPr>
          <w:rFonts w:hint="eastAsia"/>
          <w:sz w:val="28"/>
          <w:szCs w:val="28"/>
        </w:rPr>
      </w:pPr>
      <w:r>
        <w:rPr>
          <w:rFonts w:hint="eastAsia"/>
          <w:sz w:val="28"/>
          <w:szCs w:val="28"/>
        </w:rPr>
        <w:t>欢迎贵公司参与河南省政府采购活动!</w:t>
      </w:r>
    </w:p>
    <w:p>
      <w:pPr>
        <w:numPr>
          <w:ilvl w:val="0"/>
          <w:numId w:val="0"/>
        </w:numPr>
        <w:spacing w:line="360" w:lineRule="auto"/>
        <w:ind w:right="0" w:rightChars="0"/>
        <w:rPr>
          <w:rFonts w:hint="eastAsia"/>
          <w:sz w:val="28"/>
          <w:szCs w:val="28"/>
        </w:rPr>
      </w:pPr>
      <w:r>
        <w:rPr>
          <w:rFonts w:hint="eastAsia"/>
          <w:sz w:val="28"/>
          <w:szCs w:val="28"/>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 号)，按照双方自愿的原则提供便捷、优惠的贷款服务。</w:t>
      </w:r>
    </w:p>
    <w:p>
      <w:pPr>
        <w:numPr>
          <w:ilvl w:val="0"/>
          <w:numId w:val="0"/>
        </w:numPr>
        <w:spacing w:line="360" w:lineRule="auto"/>
        <w:ind w:right="0" w:rightChars="0"/>
        <w:rPr>
          <w:sz w:val="28"/>
          <w:szCs w:val="28"/>
        </w:rPr>
      </w:pPr>
      <w:r>
        <w:rPr>
          <w:rFonts w:hint="eastAsia"/>
          <w:sz w:val="28"/>
          <w:szCs w:val="28"/>
        </w:rPr>
        <w:t>贷款渠道和提供贷款的金融机构，可在河南省政府采购网“河南省政府采购合同融资平台”查询联系。</w:t>
      </w:r>
    </w:p>
    <w:p>
      <w:pPr>
        <w:pStyle w:val="11"/>
        <w:keepNext w:val="0"/>
        <w:keepLines w:val="0"/>
        <w:pageBreakBefore w:val="0"/>
        <w:widowControl w:val="0"/>
        <w:kinsoku/>
        <w:wordWrap/>
        <w:overflowPunct/>
        <w:topLinePunct w:val="0"/>
        <w:autoSpaceDE w:val="0"/>
        <w:autoSpaceDN w:val="0"/>
        <w:bidi w:val="0"/>
        <w:adjustRightInd/>
        <w:snapToGrid/>
        <w:spacing w:before="4"/>
        <w:textAlignment w:val="auto"/>
        <w:outlineLvl w:val="9"/>
        <w:rPr>
          <w:rFonts w:hint="eastAsia" w:ascii="宋体" w:hAnsi="宋体" w:eastAsia="宋体" w:cs="宋体"/>
          <w:sz w:val="16"/>
          <w:szCs w:val="20"/>
        </w:rPr>
      </w:pPr>
    </w:p>
    <w:sectPr>
      <w:pgSz w:w="11910" w:h="16840"/>
      <w:pgMar w:top="1417" w:right="1701" w:bottom="1417" w:left="1701" w:header="720" w:footer="720" w:gutter="0"/>
      <w:pgNumType w:fmt="decimal"/>
      <w:cols w:space="425"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3"/>
      </w:rPr>
    </w:pPr>
    <w:r>
      <w:rPr>
        <w:sz w:val="1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1480" w:hanging="262"/>
        <w:jc w:val="left"/>
      </w:pPr>
      <w:rPr>
        <w:rFonts w:hint="default" w:ascii="Times New Roman" w:hAnsi="Times New Roman" w:eastAsia="Times New Roman" w:cs="Times New Roman"/>
        <w:spacing w:val="0"/>
        <w:w w:val="99"/>
        <w:sz w:val="21"/>
        <w:szCs w:val="21"/>
        <w:lang w:val="zh-CN" w:eastAsia="zh-CN" w:bidi="zh-CN"/>
      </w:rPr>
    </w:lvl>
    <w:lvl w:ilvl="1" w:tentative="0">
      <w:start w:val="0"/>
      <w:numFmt w:val="bullet"/>
      <w:lvlText w:val="•"/>
      <w:lvlJc w:val="left"/>
      <w:pPr>
        <w:ind w:left="2400" w:hanging="262"/>
      </w:pPr>
      <w:rPr>
        <w:rFonts w:hint="default"/>
        <w:lang w:val="zh-CN" w:eastAsia="zh-CN" w:bidi="zh-CN"/>
      </w:rPr>
    </w:lvl>
    <w:lvl w:ilvl="2" w:tentative="0">
      <w:start w:val="0"/>
      <w:numFmt w:val="bullet"/>
      <w:lvlText w:val="•"/>
      <w:lvlJc w:val="left"/>
      <w:pPr>
        <w:ind w:left="3321" w:hanging="262"/>
      </w:pPr>
      <w:rPr>
        <w:rFonts w:hint="default"/>
        <w:lang w:val="zh-CN" w:eastAsia="zh-CN" w:bidi="zh-CN"/>
      </w:rPr>
    </w:lvl>
    <w:lvl w:ilvl="3" w:tentative="0">
      <w:start w:val="0"/>
      <w:numFmt w:val="bullet"/>
      <w:lvlText w:val="•"/>
      <w:lvlJc w:val="left"/>
      <w:pPr>
        <w:ind w:left="4241" w:hanging="262"/>
      </w:pPr>
      <w:rPr>
        <w:rFonts w:hint="default"/>
        <w:lang w:val="zh-CN" w:eastAsia="zh-CN" w:bidi="zh-CN"/>
      </w:rPr>
    </w:lvl>
    <w:lvl w:ilvl="4" w:tentative="0">
      <w:start w:val="0"/>
      <w:numFmt w:val="bullet"/>
      <w:lvlText w:val="•"/>
      <w:lvlJc w:val="left"/>
      <w:pPr>
        <w:ind w:left="5162" w:hanging="262"/>
      </w:pPr>
      <w:rPr>
        <w:rFonts w:hint="default"/>
        <w:lang w:val="zh-CN" w:eastAsia="zh-CN" w:bidi="zh-CN"/>
      </w:rPr>
    </w:lvl>
    <w:lvl w:ilvl="5" w:tentative="0">
      <w:start w:val="0"/>
      <w:numFmt w:val="bullet"/>
      <w:lvlText w:val="•"/>
      <w:lvlJc w:val="left"/>
      <w:pPr>
        <w:ind w:left="6083" w:hanging="262"/>
      </w:pPr>
      <w:rPr>
        <w:rFonts w:hint="default"/>
        <w:lang w:val="zh-CN" w:eastAsia="zh-CN" w:bidi="zh-CN"/>
      </w:rPr>
    </w:lvl>
    <w:lvl w:ilvl="6" w:tentative="0">
      <w:start w:val="0"/>
      <w:numFmt w:val="bullet"/>
      <w:lvlText w:val="•"/>
      <w:lvlJc w:val="left"/>
      <w:pPr>
        <w:ind w:left="7003" w:hanging="262"/>
      </w:pPr>
      <w:rPr>
        <w:rFonts w:hint="default"/>
        <w:lang w:val="zh-CN" w:eastAsia="zh-CN" w:bidi="zh-CN"/>
      </w:rPr>
    </w:lvl>
    <w:lvl w:ilvl="7" w:tentative="0">
      <w:start w:val="0"/>
      <w:numFmt w:val="bullet"/>
      <w:lvlText w:val="•"/>
      <w:lvlJc w:val="left"/>
      <w:pPr>
        <w:ind w:left="7924" w:hanging="262"/>
      </w:pPr>
      <w:rPr>
        <w:rFonts w:hint="default"/>
        <w:lang w:val="zh-CN" w:eastAsia="zh-CN" w:bidi="zh-CN"/>
      </w:rPr>
    </w:lvl>
    <w:lvl w:ilvl="8" w:tentative="0">
      <w:start w:val="0"/>
      <w:numFmt w:val="bullet"/>
      <w:lvlText w:val="•"/>
      <w:lvlJc w:val="left"/>
      <w:pPr>
        <w:ind w:left="8844" w:hanging="262"/>
      </w:pPr>
      <w:rPr>
        <w:rFonts w:hint="default"/>
        <w:lang w:val="zh-CN" w:eastAsia="zh-CN" w:bidi="zh-CN"/>
      </w:rPr>
    </w:lvl>
  </w:abstractNum>
  <w:abstractNum w:abstractNumId="1">
    <w:nsid w:val="9288B902"/>
    <w:multiLevelType w:val="multilevel"/>
    <w:tmpl w:val="9288B902"/>
    <w:lvl w:ilvl="0" w:tentative="0">
      <w:start w:val="1"/>
      <w:numFmt w:val="decimal"/>
      <w:lvlText w:val="%1."/>
      <w:lvlJc w:val="left"/>
      <w:pPr>
        <w:ind w:left="798"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788" w:hanging="315"/>
      </w:pPr>
      <w:rPr>
        <w:rFonts w:hint="default"/>
        <w:lang w:val="zh-CN" w:eastAsia="zh-CN" w:bidi="zh-CN"/>
      </w:rPr>
    </w:lvl>
    <w:lvl w:ilvl="2" w:tentative="0">
      <w:start w:val="0"/>
      <w:numFmt w:val="bullet"/>
      <w:lvlText w:val="•"/>
      <w:lvlJc w:val="left"/>
      <w:pPr>
        <w:ind w:left="2777" w:hanging="315"/>
      </w:pPr>
      <w:rPr>
        <w:rFonts w:hint="default"/>
        <w:lang w:val="zh-CN" w:eastAsia="zh-CN" w:bidi="zh-CN"/>
      </w:rPr>
    </w:lvl>
    <w:lvl w:ilvl="3" w:tentative="0">
      <w:start w:val="0"/>
      <w:numFmt w:val="bullet"/>
      <w:lvlText w:val="•"/>
      <w:lvlJc w:val="left"/>
      <w:pPr>
        <w:ind w:left="3765" w:hanging="315"/>
      </w:pPr>
      <w:rPr>
        <w:rFonts w:hint="default"/>
        <w:lang w:val="zh-CN" w:eastAsia="zh-CN" w:bidi="zh-CN"/>
      </w:rPr>
    </w:lvl>
    <w:lvl w:ilvl="4" w:tentative="0">
      <w:start w:val="0"/>
      <w:numFmt w:val="bullet"/>
      <w:lvlText w:val="•"/>
      <w:lvlJc w:val="left"/>
      <w:pPr>
        <w:ind w:left="4754" w:hanging="315"/>
      </w:pPr>
      <w:rPr>
        <w:rFonts w:hint="default"/>
        <w:lang w:val="zh-CN" w:eastAsia="zh-CN" w:bidi="zh-CN"/>
      </w:rPr>
    </w:lvl>
    <w:lvl w:ilvl="5" w:tentative="0">
      <w:start w:val="0"/>
      <w:numFmt w:val="bullet"/>
      <w:lvlText w:val="•"/>
      <w:lvlJc w:val="left"/>
      <w:pPr>
        <w:ind w:left="5743" w:hanging="315"/>
      </w:pPr>
      <w:rPr>
        <w:rFonts w:hint="default"/>
        <w:lang w:val="zh-CN" w:eastAsia="zh-CN" w:bidi="zh-CN"/>
      </w:rPr>
    </w:lvl>
    <w:lvl w:ilvl="6" w:tentative="0">
      <w:start w:val="0"/>
      <w:numFmt w:val="bullet"/>
      <w:lvlText w:val="•"/>
      <w:lvlJc w:val="left"/>
      <w:pPr>
        <w:ind w:left="6731" w:hanging="315"/>
      </w:pPr>
      <w:rPr>
        <w:rFonts w:hint="default"/>
        <w:lang w:val="zh-CN" w:eastAsia="zh-CN" w:bidi="zh-CN"/>
      </w:rPr>
    </w:lvl>
    <w:lvl w:ilvl="7" w:tentative="0">
      <w:start w:val="0"/>
      <w:numFmt w:val="bullet"/>
      <w:lvlText w:val="•"/>
      <w:lvlJc w:val="left"/>
      <w:pPr>
        <w:ind w:left="7720" w:hanging="315"/>
      </w:pPr>
      <w:rPr>
        <w:rFonts w:hint="default"/>
        <w:lang w:val="zh-CN" w:eastAsia="zh-CN" w:bidi="zh-CN"/>
      </w:rPr>
    </w:lvl>
    <w:lvl w:ilvl="8" w:tentative="0">
      <w:start w:val="0"/>
      <w:numFmt w:val="bullet"/>
      <w:lvlText w:val="•"/>
      <w:lvlJc w:val="left"/>
      <w:pPr>
        <w:ind w:left="8708" w:hanging="315"/>
      </w:pPr>
      <w:rPr>
        <w:rFonts w:hint="default"/>
        <w:lang w:val="zh-CN" w:eastAsia="zh-CN" w:bidi="zh-CN"/>
      </w:rPr>
    </w:lvl>
  </w:abstractNum>
  <w:abstractNum w:abstractNumId="2">
    <w:nsid w:val="9E831D70"/>
    <w:multiLevelType w:val="singleLevel"/>
    <w:tmpl w:val="9E831D70"/>
    <w:lvl w:ilvl="0" w:tentative="0">
      <w:start w:val="2"/>
      <w:numFmt w:val="decimal"/>
      <w:lvlText w:val="%1."/>
      <w:lvlJc w:val="left"/>
      <w:pPr>
        <w:tabs>
          <w:tab w:val="left" w:pos="312"/>
        </w:tabs>
      </w:pPr>
    </w:lvl>
  </w:abstractNum>
  <w:abstractNum w:abstractNumId="3">
    <w:nsid w:val="A97D620A"/>
    <w:multiLevelType w:val="multilevel"/>
    <w:tmpl w:val="A97D620A"/>
    <w:lvl w:ilvl="0" w:tentative="0">
      <w:start w:val="1"/>
      <w:numFmt w:val="decimal"/>
      <w:lvlText w:val="%1."/>
      <w:lvlJc w:val="left"/>
      <w:pPr>
        <w:ind w:left="108" w:hanging="211"/>
        <w:jc w:val="left"/>
      </w:pPr>
      <w:rPr>
        <w:rFonts w:hint="default" w:ascii="宋体" w:hAnsi="宋体" w:eastAsia="宋体" w:cs="宋体"/>
        <w:spacing w:val="-53"/>
        <w:w w:val="100"/>
        <w:sz w:val="19"/>
        <w:szCs w:val="19"/>
        <w:lang w:val="zh-CN" w:eastAsia="zh-CN" w:bidi="zh-CN"/>
      </w:rPr>
    </w:lvl>
    <w:lvl w:ilvl="1" w:tentative="0">
      <w:start w:val="0"/>
      <w:numFmt w:val="bullet"/>
      <w:lvlText w:val="•"/>
      <w:lvlJc w:val="left"/>
      <w:pPr>
        <w:ind w:left="680" w:hanging="211"/>
      </w:pPr>
      <w:rPr>
        <w:rFonts w:hint="default"/>
        <w:lang w:val="zh-CN" w:eastAsia="zh-CN" w:bidi="zh-CN"/>
      </w:rPr>
    </w:lvl>
    <w:lvl w:ilvl="2" w:tentative="0">
      <w:start w:val="0"/>
      <w:numFmt w:val="bullet"/>
      <w:lvlText w:val="•"/>
      <w:lvlJc w:val="left"/>
      <w:pPr>
        <w:ind w:left="1260" w:hanging="211"/>
      </w:pPr>
      <w:rPr>
        <w:rFonts w:hint="default"/>
        <w:lang w:val="zh-CN" w:eastAsia="zh-CN" w:bidi="zh-CN"/>
      </w:rPr>
    </w:lvl>
    <w:lvl w:ilvl="3" w:tentative="0">
      <w:start w:val="0"/>
      <w:numFmt w:val="bullet"/>
      <w:lvlText w:val="•"/>
      <w:lvlJc w:val="left"/>
      <w:pPr>
        <w:ind w:left="1840" w:hanging="211"/>
      </w:pPr>
      <w:rPr>
        <w:rFonts w:hint="default"/>
        <w:lang w:val="zh-CN" w:eastAsia="zh-CN" w:bidi="zh-CN"/>
      </w:rPr>
    </w:lvl>
    <w:lvl w:ilvl="4" w:tentative="0">
      <w:start w:val="0"/>
      <w:numFmt w:val="bullet"/>
      <w:lvlText w:val="•"/>
      <w:lvlJc w:val="left"/>
      <w:pPr>
        <w:ind w:left="2420" w:hanging="211"/>
      </w:pPr>
      <w:rPr>
        <w:rFonts w:hint="default"/>
        <w:lang w:val="zh-CN" w:eastAsia="zh-CN" w:bidi="zh-CN"/>
      </w:rPr>
    </w:lvl>
    <w:lvl w:ilvl="5" w:tentative="0">
      <w:start w:val="0"/>
      <w:numFmt w:val="bullet"/>
      <w:lvlText w:val="•"/>
      <w:lvlJc w:val="left"/>
      <w:pPr>
        <w:ind w:left="3000" w:hanging="211"/>
      </w:pPr>
      <w:rPr>
        <w:rFonts w:hint="default"/>
        <w:lang w:val="zh-CN" w:eastAsia="zh-CN" w:bidi="zh-CN"/>
      </w:rPr>
    </w:lvl>
    <w:lvl w:ilvl="6" w:tentative="0">
      <w:start w:val="0"/>
      <w:numFmt w:val="bullet"/>
      <w:lvlText w:val="•"/>
      <w:lvlJc w:val="left"/>
      <w:pPr>
        <w:ind w:left="3580" w:hanging="211"/>
      </w:pPr>
      <w:rPr>
        <w:rFonts w:hint="default"/>
        <w:lang w:val="zh-CN" w:eastAsia="zh-CN" w:bidi="zh-CN"/>
      </w:rPr>
    </w:lvl>
    <w:lvl w:ilvl="7" w:tentative="0">
      <w:start w:val="0"/>
      <w:numFmt w:val="bullet"/>
      <w:lvlText w:val="•"/>
      <w:lvlJc w:val="left"/>
      <w:pPr>
        <w:ind w:left="4160" w:hanging="211"/>
      </w:pPr>
      <w:rPr>
        <w:rFonts w:hint="default"/>
        <w:lang w:val="zh-CN" w:eastAsia="zh-CN" w:bidi="zh-CN"/>
      </w:rPr>
    </w:lvl>
    <w:lvl w:ilvl="8" w:tentative="0">
      <w:start w:val="0"/>
      <w:numFmt w:val="bullet"/>
      <w:lvlText w:val="•"/>
      <w:lvlJc w:val="left"/>
      <w:pPr>
        <w:ind w:left="4740" w:hanging="211"/>
      </w:pPr>
      <w:rPr>
        <w:rFonts w:hint="default"/>
        <w:lang w:val="zh-CN" w:eastAsia="zh-CN" w:bidi="zh-CN"/>
      </w:rPr>
    </w:lvl>
  </w:abstractNum>
  <w:abstractNum w:abstractNumId="4">
    <w:nsid w:val="DAE62134"/>
    <w:multiLevelType w:val="multilevel"/>
    <w:tmpl w:val="DAE62134"/>
    <w:lvl w:ilvl="0" w:tentative="0">
      <w:start w:val="1"/>
      <w:numFmt w:val="decimal"/>
      <w:lvlText w:val="（%1）"/>
      <w:lvlJc w:val="left"/>
      <w:pPr>
        <w:ind w:left="634" w:hanging="526"/>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1166" w:hanging="526"/>
      </w:pPr>
      <w:rPr>
        <w:rFonts w:hint="default"/>
        <w:lang w:val="zh-CN" w:eastAsia="zh-CN" w:bidi="zh-CN"/>
      </w:rPr>
    </w:lvl>
    <w:lvl w:ilvl="2" w:tentative="0">
      <w:start w:val="0"/>
      <w:numFmt w:val="bullet"/>
      <w:lvlText w:val="•"/>
      <w:lvlJc w:val="left"/>
      <w:pPr>
        <w:ind w:left="1692" w:hanging="526"/>
      </w:pPr>
      <w:rPr>
        <w:rFonts w:hint="default"/>
        <w:lang w:val="zh-CN" w:eastAsia="zh-CN" w:bidi="zh-CN"/>
      </w:rPr>
    </w:lvl>
    <w:lvl w:ilvl="3" w:tentative="0">
      <w:start w:val="0"/>
      <w:numFmt w:val="bullet"/>
      <w:lvlText w:val="•"/>
      <w:lvlJc w:val="left"/>
      <w:pPr>
        <w:ind w:left="2218" w:hanging="526"/>
      </w:pPr>
      <w:rPr>
        <w:rFonts w:hint="default"/>
        <w:lang w:val="zh-CN" w:eastAsia="zh-CN" w:bidi="zh-CN"/>
      </w:rPr>
    </w:lvl>
    <w:lvl w:ilvl="4" w:tentative="0">
      <w:start w:val="0"/>
      <w:numFmt w:val="bullet"/>
      <w:lvlText w:val="•"/>
      <w:lvlJc w:val="left"/>
      <w:pPr>
        <w:ind w:left="2744" w:hanging="526"/>
      </w:pPr>
      <w:rPr>
        <w:rFonts w:hint="default"/>
        <w:lang w:val="zh-CN" w:eastAsia="zh-CN" w:bidi="zh-CN"/>
      </w:rPr>
    </w:lvl>
    <w:lvl w:ilvl="5" w:tentative="0">
      <w:start w:val="0"/>
      <w:numFmt w:val="bullet"/>
      <w:lvlText w:val="•"/>
      <w:lvlJc w:val="left"/>
      <w:pPr>
        <w:ind w:left="3270" w:hanging="526"/>
      </w:pPr>
      <w:rPr>
        <w:rFonts w:hint="default"/>
        <w:lang w:val="zh-CN" w:eastAsia="zh-CN" w:bidi="zh-CN"/>
      </w:rPr>
    </w:lvl>
    <w:lvl w:ilvl="6" w:tentative="0">
      <w:start w:val="0"/>
      <w:numFmt w:val="bullet"/>
      <w:lvlText w:val="•"/>
      <w:lvlJc w:val="left"/>
      <w:pPr>
        <w:ind w:left="3796" w:hanging="526"/>
      </w:pPr>
      <w:rPr>
        <w:rFonts w:hint="default"/>
        <w:lang w:val="zh-CN" w:eastAsia="zh-CN" w:bidi="zh-CN"/>
      </w:rPr>
    </w:lvl>
    <w:lvl w:ilvl="7" w:tentative="0">
      <w:start w:val="0"/>
      <w:numFmt w:val="bullet"/>
      <w:lvlText w:val="•"/>
      <w:lvlJc w:val="left"/>
      <w:pPr>
        <w:ind w:left="4322" w:hanging="526"/>
      </w:pPr>
      <w:rPr>
        <w:rFonts w:hint="default"/>
        <w:lang w:val="zh-CN" w:eastAsia="zh-CN" w:bidi="zh-CN"/>
      </w:rPr>
    </w:lvl>
    <w:lvl w:ilvl="8" w:tentative="0">
      <w:start w:val="0"/>
      <w:numFmt w:val="bullet"/>
      <w:lvlText w:val="•"/>
      <w:lvlJc w:val="left"/>
      <w:pPr>
        <w:ind w:left="4848" w:hanging="526"/>
      </w:pPr>
      <w:rPr>
        <w:rFonts w:hint="default"/>
        <w:lang w:val="zh-CN" w:eastAsia="zh-CN" w:bidi="zh-CN"/>
      </w:rPr>
    </w:lvl>
  </w:abstractNum>
  <w:abstractNum w:abstractNumId="5">
    <w:nsid w:val="39A0D9AC"/>
    <w:multiLevelType w:val="multilevel"/>
    <w:tmpl w:val="39A0D9AC"/>
    <w:lvl w:ilvl="0" w:tentative="0">
      <w:start w:val="1"/>
      <w:numFmt w:val="decimal"/>
      <w:lvlText w:val="%1."/>
      <w:lvlJc w:val="left"/>
      <w:pPr>
        <w:ind w:left="798"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788" w:hanging="212"/>
      </w:pPr>
      <w:rPr>
        <w:rFonts w:hint="default"/>
        <w:lang w:val="zh-CN" w:eastAsia="zh-CN" w:bidi="zh-CN"/>
      </w:rPr>
    </w:lvl>
    <w:lvl w:ilvl="2" w:tentative="0">
      <w:start w:val="0"/>
      <w:numFmt w:val="bullet"/>
      <w:lvlText w:val="•"/>
      <w:lvlJc w:val="left"/>
      <w:pPr>
        <w:ind w:left="2777" w:hanging="212"/>
      </w:pPr>
      <w:rPr>
        <w:rFonts w:hint="default"/>
        <w:lang w:val="zh-CN" w:eastAsia="zh-CN" w:bidi="zh-CN"/>
      </w:rPr>
    </w:lvl>
    <w:lvl w:ilvl="3" w:tentative="0">
      <w:start w:val="0"/>
      <w:numFmt w:val="bullet"/>
      <w:lvlText w:val="•"/>
      <w:lvlJc w:val="left"/>
      <w:pPr>
        <w:ind w:left="3765" w:hanging="212"/>
      </w:pPr>
      <w:rPr>
        <w:rFonts w:hint="default"/>
        <w:lang w:val="zh-CN" w:eastAsia="zh-CN" w:bidi="zh-CN"/>
      </w:rPr>
    </w:lvl>
    <w:lvl w:ilvl="4" w:tentative="0">
      <w:start w:val="0"/>
      <w:numFmt w:val="bullet"/>
      <w:lvlText w:val="•"/>
      <w:lvlJc w:val="left"/>
      <w:pPr>
        <w:ind w:left="4754" w:hanging="212"/>
      </w:pPr>
      <w:rPr>
        <w:rFonts w:hint="default"/>
        <w:lang w:val="zh-CN" w:eastAsia="zh-CN" w:bidi="zh-CN"/>
      </w:rPr>
    </w:lvl>
    <w:lvl w:ilvl="5" w:tentative="0">
      <w:start w:val="0"/>
      <w:numFmt w:val="bullet"/>
      <w:lvlText w:val="•"/>
      <w:lvlJc w:val="left"/>
      <w:pPr>
        <w:ind w:left="5743" w:hanging="212"/>
      </w:pPr>
      <w:rPr>
        <w:rFonts w:hint="default"/>
        <w:lang w:val="zh-CN" w:eastAsia="zh-CN" w:bidi="zh-CN"/>
      </w:rPr>
    </w:lvl>
    <w:lvl w:ilvl="6" w:tentative="0">
      <w:start w:val="0"/>
      <w:numFmt w:val="bullet"/>
      <w:lvlText w:val="•"/>
      <w:lvlJc w:val="left"/>
      <w:pPr>
        <w:ind w:left="6731" w:hanging="212"/>
      </w:pPr>
      <w:rPr>
        <w:rFonts w:hint="default"/>
        <w:lang w:val="zh-CN" w:eastAsia="zh-CN" w:bidi="zh-CN"/>
      </w:rPr>
    </w:lvl>
    <w:lvl w:ilvl="7" w:tentative="0">
      <w:start w:val="0"/>
      <w:numFmt w:val="bullet"/>
      <w:lvlText w:val="•"/>
      <w:lvlJc w:val="left"/>
      <w:pPr>
        <w:ind w:left="7720" w:hanging="212"/>
      </w:pPr>
      <w:rPr>
        <w:rFonts w:hint="default"/>
        <w:lang w:val="zh-CN" w:eastAsia="zh-CN" w:bidi="zh-CN"/>
      </w:rPr>
    </w:lvl>
    <w:lvl w:ilvl="8" w:tentative="0">
      <w:start w:val="0"/>
      <w:numFmt w:val="bullet"/>
      <w:lvlText w:val="•"/>
      <w:lvlJc w:val="left"/>
      <w:pPr>
        <w:ind w:left="8708" w:hanging="212"/>
      </w:pPr>
      <w:rPr>
        <w:rFonts w:hint="default"/>
        <w:lang w:val="zh-CN" w:eastAsia="zh-CN" w:bidi="zh-CN"/>
      </w:rPr>
    </w:lvl>
  </w:abstractNum>
  <w:abstractNum w:abstractNumId="6">
    <w:nsid w:val="48745B07"/>
    <w:multiLevelType w:val="multilevel"/>
    <w:tmpl w:val="48745B07"/>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8765686"/>
    <w:multiLevelType w:val="multilevel"/>
    <w:tmpl w:val="58765686"/>
    <w:lvl w:ilvl="0" w:tentative="0">
      <w:start w:val="1"/>
      <w:numFmt w:val="decimal"/>
      <w:lvlText w:val="（%1）"/>
      <w:lvlJc w:val="left"/>
      <w:pPr>
        <w:ind w:left="798" w:hanging="528"/>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788" w:hanging="528"/>
      </w:pPr>
      <w:rPr>
        <w:rFonts w:hint="default"/>
        <w:lang w:val="zh-CN" w:eastAsia="zh-CN" w:bidi="zh-CN"/>
      </w:rPr>
    </w:lvl>
    <w:lvl w:ilvl="2" w:tentative="0">
      <w:start w:val="0"/>
      <w:numFmt w:val="bullet"/>
      <w:lvlText w:val="•"/>
      <w:lvlJc w:val="left"/>
      <w:pPr>
        <w:ind w:left="2777" w:hanging="528"/>
      </w:pPr>
      <w:rPr>
        <w:rFonts w:hint="default"/>
        <w:lang w:val="zh-CN" w:eastAsia="zh-CN" w:bidi="zh-CN"/>
      </w:rPr>
    </w:lvl>
    <w:lvl w:ilvl="3" w:tentative="0">
      <w:start w:val="0"/>
      <w:numFmt w:val="bullet"/>
      <w:lvlText w:val="•"/>
      <w:lvlJc w:val="left"/>
      <w:pPr>
        <w:ind w:left="3765" w:hanging="528"/>
      </w:pPr>
      <w:rPr>
        <w:rFonts w:hint="default"/>
        <w:lang w:val="zh-CN" w:eastAsia="zh-CN" w:bidi="zh-CN"/>
      </w:rPr>
    </w:lvl>
    <w:lvl w:ilvl="4" w:tentative="0">
      <w:start w:val="0"/>
      <w:numFmt w:val="bullet"/>
      <w:lvlText w:val="•"/>
      <w:lvlJc w:val="left"/>
      <w:pPr>
        <w:ind w:left="4754" w:hanging="528"/>
      </w:pPr>
      <w:rPr>
        <w:rFonts w:hint="default"/>
        <w:lang w:val="zh-CN" w:eastAsia="zh-CN" w:bidi="zh-CN"/>
      </w:rPr>
    </w:lvl>
    <w:lvl w:ilvl="5" w:tentative="0">
      <w:start w:val="0"/>
      <w:numFmt w:val="bullet"/>
      <w:lvlText w:val="•"/>
      <w:lvlJc w:val="left"/>
      <w:pPr>
        <w:ind w:left="5743" w:hanging="528"/>
      </w:pPr>
      <w:rPr>
        <w:rFonts w:hint="default"/>
        <w:lang w:val="zh-CN" w:eastAsia="zh-CN" w:bidi="zh-CN"/>
      </w:rPr>
    </w:lvl>
    <w:lvl w:ilvl="6" w:tentative="0">
      <w:start w:val="0"/>
      <w:numFmt w:val="bullet"/>
      <w:lvlText w:val="•"/>
      <w:lvlJc w:val="left"/>
      <w:pPr>
        <w:ind w:left="6731" w:hanging="528"/>
      </w:pPr>
      <w:rPr>
        <w:rFonts w:hint="default"/>
        <w:lang w:val="zh-CN" w:eastAsia="zh-CN" w:bidi="zh-CN"/>
      </w:rPr>
    </w:lvl>
    <w:lvl w:ilvl="7" w:tentative="0">
      <w:start w:val="0"/>
      <w:numFmt w:val="bullet"/>
      <w:lvlText w:val="•"/>
      <w:lvlJc w:val="left"/>
      <w:pPr>
        <w:ind w:left="7720" w:hanging="528"/>
      </w:pPr>
      <w:rPr>
        <w:rFonts w:hint="default"/>
        <w:lang w:val="zh-CN" w:eastAsia="zh-CN" w:bidi="zh-CN"/>
      </w:rPr>
    </w:lvl>
    <w:lvl w:ilvl="8" w:tentative="0">
      <w:start w:val="0"/>
      <w:numFmt w:val="bullet"/>
      <w:lvlText w:val="•"/>
      <w:lvlJc w:val="left"/>
      <w:pPr>
        <w:ind w:left="8708" w:hanging="528"/>
      </w:pPr>
      <w:rPr>
        <w:rFonts w:hint="default"/>
        <w:lang w:val="zh-CN" w:eastAsia="zh-CN" w:bidi="zh-CN"/>
      </w:rPr>
    </w:lvl>
  </w:abstractNum>
  <w:abstractNum w:abstractNumId="8">
    <w:nsid w:val="64391B62"/>
    <w:multiLevelType w:val="multilevel"/>
    <w:tmpl w:val="64391B62"/>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3"/>
  </w:num>
  <w:num w:numId="3">
    <w:abstractNumId w:val="2"/>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031A"/>
    <w:rsid w:val="02DF36BA"/>
    <w:rsid w:val="05293314"/>
    <w:rsid w:val="059B5766"/>
    <w:rsid w:val="05BF6A06"/>
    <w:rsid w:val="07613DF2"/>
    <w:rsid w:val="07EF3E40"/>
    <w:rsid w:val="082C5567"/>
    <w:rsid w:val="091A0746"/>
    <w:rsid w:val="09512F5E"/>
    <w:rsid w:val="09C80C4B"/>
    <w:rsid w:val="0A5B198F"/>
    <w:rsid w:val="0A734341"/>
    <w:rsid w:val="0C527F2C"/>
    <w:rsid w:val="0D683E3C"/>
    <w:rsid w:val="0D7901EE"/>
    <w:rsid w:val="0D7F443C"/>
    <w:rsid w:val="0F054437"/>
    <w:rsid w:val="1082680E"/>
    <w:rsid w:val="110E387B"/>
    <w:rsid w:val="110F2249"/>
    <w:rsid w:val="113A3EEE"/>
    <w:rsid w:val="12A0676E"/>
    <w:rsid w:val="13ED2E21"/>
    <w:rsid w:val="15E46183"/>
    <w:rsid w:val="16C73320"/>
    <w:rsid w:val="171A55C3"/>
    <w:rsid w:val="17F26676"/>
    <w:rsid w:val="198A7846"/>
    <w:rsid w:val="1A143533"/>
    <w:rsid w:val="1A7D2152"/>
    <w:rsid w:val="1B0933AF"/>
    <w:rsid w:val="1BB902C7"/>
    <w:rsid w:val="1CBD1F0E"/>
    <w:rsid w:val="1CE9275C"/>
    <w:rsid w:val="1DA540D9"/>
    <w:rsid w:val="1E6410B9"/>
    <w:rsid w:val="1FD5604A"/>
    <w:rsid w:val="2007693E"/>
    <w:rsid w:val="227D73A7"/>
    <w:rsid w:val="22AD1A01"/>
    <w:rsid w:val="23E4253F"/>
    <w:rsid w:val="245F25C0"/>
    <w:rsid w:val="2528027C"/>
    <w:rsid w:val="25F918E6"/>
    <w:rsid w:val="266C610B"/>
    <w:rsid w:val="26AA792C"/>
    <w:rsid w:val="26CE43DB"/>
    <w:rsid w:val="275D2FF5"/>
    <w:rsid w:val="276E2DBD"/>
    <w:rsid w:val="2811148D"/>
    <w:rsid w:val="285C67BF"/>
    <w:rsid w:val="28C12EB9"/>
    <w:rsid w:val="2976421F"/>
    <w:rsid w:val="2A1335BE"/>
    <w:rsid w:val="2BF27B5B"/>
    <w:rsid w:val="2C904A63"/>
    <w:rsid w:val="2FBE7CA2"/>
    <w:rsid w:val="2FE307EA"/>
    <w:rsid w:val="30F438D6"/>
    <w:rsid w:val="312F54B2"/>
    <w:rsid w:val="31B16017"/>
    <w:rsid w:val="3225750F"/>
    <w:rsid w:val="33072A56"/>
    <w:rsid w:val="345D7AC2"/>
    <w:rsid w:val="34C337FF"/>
    <w:rsid w:val="34C81AE9"/>
    <w:rsid w:val="35C8418D"/>
    <w:rsid w:val="375E6B5B"/>
    <w:rsid w:val="379102F3"/>
    <w:rsid w:val="37E72E05"/>
    <w:rsid w:val="391E1D9F"/>
    <w:rsid w:val="39652BBB"/>
    <w:rsid w:val="39D13C3A"/>
    <w:rsid w:val="3AC27672"/>
    <w:rsid w:val="3ADA4BB0"/>
    <w:rsid w:val="3B4C54B9"/>
    <w:rsid w:val="3C2A1720"/>
    <w:rsid w:val="3C464378"/>
    <w:rsid w:val="3CED3A56"/>
    <w:rsid w:val="3D29571F"/>
    <w:rsid w:val="3D767E0B"/>
    <w:rsid w:val="3DAD29F6"/>
    <w:rsid w:val="3EA975FB"/>
    <w:rsid w:val="3ED706D2"/>
    <w:rsid w:val="3EF70694"/>
    <w:rsid w:val="40232D20"/>
    <w:rsid w:val="404235F9"/>
    <w:rsid w:val="4068264F"/>
    <w:rsid w:val="4236183B"/>
    <w:rsid w:val="489568E5"/>
    <w:rsid w:val="48EA2CF2"/>
    <w:rsid w:val="4A411498"/>
    <w:rsid w:val="4B106AE5"/>
    <w:rsid w:val="4B80786F"/>
    <w:rsid w:val="4BC02499"/>
    <w:rsid w:val="4CD57249"/>
    <w:rsid w:val="4D822A7C"/>
    <w:rsid w:val="4D936717"/>
    <w:rsid w:val="4DEC6E05"/>
    <w:rsid w:val="4E1D5BEA"/>
    <w:rsid w:val="4E4A2198"/>
    <w:rsid w:val="5092035F"/>
    <w:rsid w:val="521E2047"/>
    <w:rsid w:val="522B6EA1"/>
    <w:rsid w:val="527A3949"/>
    <w:rsid w:val="544B2F87"/>
    <w:rsid w:val="546826A5"/>
    <w:rsid w:val="55A217C6"/>
    <w:rsid w:val="55EE7428"/>
    <w:rsid w:val="55F17FED"/>
    <w:rsid w:val="568C4E4A"/>
    <w:rsid w:val="5774413B"/>
    <w:rsid w:val="57874BC1"/>
    <w:rsid w:val="57B405F5"/>
    <w:rsid w:val="58A47034"/>
    <w:rsid w:val="59DE737B"/>
    <w:rsid w:val="5EA8528A"/>
    <w:rsid w:val="60463249"/>
    <w:rsid w:val="611C1797"/>
    <w:rsid w:val="613B7705"/>
    <w:rsid w:val="617D7044"/>
    <w:rsid w:val="622F37B3"/>
    <w:rsid w:val="62383658"/>
    <w:rsid w:val="64200255"/>
    <w:rsid w:val="6563719C"/>
    <w:rsid w:val="65707CDF"/>
    <w:rsid w:val="68676665"/>
    <w:rsid w:val="68FE5098"/>
    <w:rsid w:val="691A11DD"/>
    <w:rsid w:val="69C76EB4"/>
    <w:rsid w:val="6AAB7B5B"/>
    <w:rsid w:val="6D77067A"/>
    <w:rsid w:val="6E1A10E0"/>
    <w:rsid w:val="701F6E99"/>
    <w:rsid w:val="70844EAE"/>
    <w:rsid w:val="70D87741"/>
    <w:rsid w:val="74425BAF"/>
    <w:rsid w:val="745236B4"/>
    <w:rsid w:val="74B3351D"/>
    <w:rsid w:val="74C23343"/>
    <w:rsid w:val="762406B9"/>
    <w:rsid w:val="7635086B"/>
    <w:rsid w:val="76F806AD"/>
    <w:rsid w:val="778B6190"/>
    <w:rsid w:val="77931166"/>
    <w:rsid w:val="788C382B"/>
    <w:rsid w:val="791C5B2E"/>
    <w:rsid w:val="7A160657"/>
    <w:rsid w:val="7BDA5BEA"/>
    <w:rsid w:val="7BDF2DEC"/>
    <w:rsid w:val="7C0C4E35"/>
    <w:rsid w:val="7CDC79CA"/>
    <w:rsid w:val="7D0C0C32"/>
    <w:rsid w:val="7DE060C7"/>
    <w:rsid w:val="7F360DA2"/>
    <w:rsid w:val="7F556480"/>
    <w:rsid w:val="7FA86B4A"/>
    <w:rsid w:val="7FE957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line="757" w:lineRule="exact"/>
      <w:ind w:left="399" w:right="418"/>
      <w:jc w:val="center"/>
      <w:outlineLvl w:val="1"/>
    </w:pPr>
    <w:rPr>
      <w:rFonts w:ascii="Microsoft JhengHei" w:hAnsi="Microsoft JhengHei" w:eastAsia="Microsoft JhengHei" w:cs="Microsoft JhengHei"/>
      <w:b/>
      <w:bCs/>
      <w:sz w:val="48"/>
      <w:szCs w:val="48"/>
      <w:lang w:val="zh-CN" w:eastAsia="zh-CN" w:bidi="zh-CN"/>
    </w:rPr>
  </w:style>
  <w:style w:type="paragraph" w:styleId="2">
    <w:name w:val="heading 2"/>
    <w:basedOn w:val="1"/>
    <w:next w:val="1"/>
    <w:qFormat/>
    <w:uiPriority w:val="1"/>
    <w:pPr>
      <w:spacing w:line="491" w:lineRule="exact"/>
      <w:ind w:left="1522"/>
      <w:outlineLvl w:val="2"/>
    </w:pPr>
    <w:rPr>
      <w:rFonts w:ascii="Microsoft JhengHei" w:hAnsi="Microsoft JhengHei" w:eastAsia="Microsoft JhengHei" w:cs="Microsoft JhengHei"/>
      <w:b/>
      <w:bCs/>
      <w:sz w:val="32"/>
      <w:szCs w:val="32"/>
      <w:lang w:val="zh-CN" w:eastAsia="zh-CN" w:bidi="zh-CN"/>
    </w:rPr>
  </w:style>
  <w:style w:type="paragraph" w:styleId="4">
    <w:name w:val="heading 3"/>
    <w:basedOn w:val="1"/>
    <w:next w:val="1"/>
    <w:qFormat/>
    <w:uiPriority w:val="1"/>
    <w:pPr>
      <w:ind w:left="29"/>
      <w:outlineLvl w:val="3"/>
    </w:pPr>
    <w:rPr>
      <w:rFonts w:ascii="宋体" w:hAnsi="宋体" w:eastAsia="宋体" w:cs="宋体"/>
      <w:sz w:val="32"/>
      <w:szCs w:val="32"/>
      <w:lang w:val="zh-CN" w:eastAsia="zh-CN" w:bidi="zh-CN"/>
    </w:rPr>
  </w:style>
  <w:style w:type="paragraph" w:styleId="5">
    <w:name w:val="heading 4"/>
    <w:basedOn w:val="1"/>
    <w:next w:val="1"/>
    <w:qFormat/>
    <w:uiPriority w:val="1"/>
    <w:pPr>
      <w:ind w:left="1601" w:hanging="560"/>
      <w:outlineLvl w:val="4"/>
    </w:pPr>
    <w:rPr>
      <w:rFonts w:ascii="Microsoft JhengHei" w:hAnsi="Microsoft JhengHei" w:eastAsia="Microsoft JhengHei" w:cs="Microsoft JhengHei"/>
      <w:b/>
      <w:bCs/>
      <w:sz w:val="28"/>
      <w:szCs w:val="28"/>
      <w:lang w:val="zh-CN" w:eastAsia="zh-CN" w:bidi="zh-CN"/>
    </w:rPr>
  </w:style>
  <w:style w:type="paragraph" w:styleId="6">
    <w:name w:val="heading 5"/>
    <w:basedOn w:val="1"/>
    <w:next w:val="1"/>
    <w:qFormat/>
    <w:uiPriority w:val="1"/>
    <w:pPr>
      <w:ind w:left="1021"/>
      <w:outlineLvl w:val="5"/>
    </w:pPr>
    <w:rPr>
      <w:rFonts w:ascii="宋体" w:hAnsi="宋体" w:eastAsia="宋体" w:cs="宋体"/>
      <w:sz w:val="28"/>
      <w:szCs w:val="28"/>
      <w:lang w:val="zh-CN" w:eastAsia="zh-CN" w:bidi="zh-CN"/>
    </w:rPr>
  </w:style>
  <w:style w:type="paragraph" w:styleId="7">
    <w:name w:val="heading 6"/>
    <w:basedOn w:val="1"/>
    <w:next w:val="1"/>
    <w:qFormat/>
    <w:uiPriority w:val="1"/>
    <w:pPr>
      <w:spacing w:line="416" w:lineRule="exact"/>
      <w:ind w:left="1021"/>
      <w:outlineLvl w:val="6"/>
    </w:pPr>
    <w:rPr>
      <w:rFonts w:ascii="Microsoft JhengHei" w:hAnsi="Microsoft JhengHei" w:eastAsia="Microsoft JhengHei" w:cs="Microsoft JhengHei"/>
      <w:b/>
      <w:bCs/>
      <w:sz w:val="24"/>
      <w:szCs w:val="24"/>
      <w:lang w:val="zh-CN" w:eastAsia="zh-CN" w:bidi="zh-CN"/>
    </w:rPr>
  </w:style>
  <w:style w:type="paragraph" w:styleId="8">
    <w:name w:val="heading 7"/>
    <w:basedOn w:val="1"/>
    <w:next w:val="1"/>
    <w:qFormat/>
    <w:uiPriority w:val="1"/>
    <w:pPr>
      <w:ind w:left="1021"/>
      <w:outlineLvl w:val="7"/>
    </w:pPr>
    <w:rPr>
      <w:rFonts w:ascii="宋体" w:hAnsi="宋体" w:eastAsia="宋体" w:cs="宋体"/>
      <w:sz w:val="24"/>
      <w:szCs w:val="24"/>
      <w:lang w:val="zh-CN" w:eastAsia="zh-CN" w:bidi="zh-CN"/>
    </w:rPr>
  </w:style>
  <w:style w:type="paragraph" w:styleId="9">
    <w:name w:val="heading 8"/>
    <w:basedOn w:val="1"/>
    <w:next w:val="1"/>
    <w:qFormat/>
    <w:uiPriority w:val="1"/>
    <w:pPr>
      <w:ind w:left="1776"/>
      <w:outlineLvl w:val="8"/>
    </w:pPr>
    <w:rPr>
      <w:rFonts w:ascii="Microsoft JhengHei" w:hAnsi="Microsoft JhengHei" w:eastAsia="Microsoft JhengHei" w:cs="Microsoft JhengHei"/>
      <w:b/>
      <w:bCs/>
      <w:sz w:val="21"/>
      <w:szCs w:val="21"/>
      <w:lang w:val="zh-CN" w:eastAsia="zh-CN" w:bidi="zh-CN"/>
    </w:rPr>
  </w:style>
  <w:style w:type="character" w:default="1" w:styleId="20">
    <w:name w:val="Default Paragraph Font"/>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10">
    <w:name w:val="annotation text"/>
    <w:basedOn w:val="1"/>
    <w:qFormat/>
    <w:uiPriority w:val="0"/>
    <w:pPr>
      <w:jc w:val="left"/>
    </w:pPr>
  </w:style>
  <w:style w:type="paragraph" w:styleId="11">
    <w:name w:val="Body Text"/>
    <w:basedOn w:val="1"/>
    <w:qFormat/>
    <w:uiPriority w:val="1"/>
    <w:rPr>
      <w:rFonts w:ascii="宋体" w:hAnsi="宋体" w:eastAsia="宋体" w:cs="宋体"/>
      <w:sz w:val="21"/>
      <w:szCs w:val="21"/>
      <w:lang w:val="zh-CN" w:eastAsia="zh-CN" w:bidi="zh-CN"/>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1"/>
    <w:pPr>
      <w:spacing w:before="271"/>
      <w:ind w:left="1041"/>
    </w:pPr>
    <w:rPr>
      <w:rFonts w:ascii="宋体" w:hAnsi="宋体" w:eastAsia="宋体" w:cs="宋体"/>
      <w:sz w:val="21"/>
      <w:szCs w:val="21"/>
      <w:lang w:val="zh-CN" w:eastAsia="zh-CN" w:bidi="zh-CN"/>
    </w:rPr>
  </w:style>
  <w:style w:type="paragraph" w:styleId="15">
    <w:name w:val="toc 2"/>
    <w:basedOn w:val="1"/>
    <w:next w:val="1"/>
    <w:qFormat/>
    <w:uiPriority w:val="1"/>
    <w:pPr>
      <w:spacing w:before="271"/>
      <w:ind w:left="1461"/>
    </w:pPr>
    <w:rPr>
      <w:rFonts w:ascii="宋体" w:hAnsi="宋体" w:eastAsia="宋体" w:cs="宋体"/>
      <w:sz w:val="21"/>
      <w:szCs w:val="21"/>
      <w:lang w:val="zh-CN" w:eastAsia="zh-CN" w:bidi="zh-CN"/>
    </w:rPr>
  </w:style>
  <w:style w:type="paragraph" w:styleId="16">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cs="Arial"/>
      <w:sz w:val="24"/>
      <w:szCs w:val="24"/>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qFormat/>
    <w:uiPriority w:val="0"/>
    <w:rPr>
      <w:color w:val="136EC2"/>
      <w:u w:val="none"/>
    </w:rPr>
  </w:style>
  <w:style w:type="character" w:styleId="22">
    <w:name w:val="Emphasis"/>
    <w:basedOn w:val="20"/>
    <w:qFormat/>
    <w:uiPriority w:val="0"/>
  </w:style>
  <w:style w:type="character" w:styleId="23">
    <w:name w:val="HTML Definition"/>
    <w:basedOn w:val="20"/>
    <w:qFormat/>
    <w:uiPriority w:val="0"/>
  </w:style>
  <w:style w:type="character" w:styleId="24">
    <w:name w:val="HTML Acronym"/>
    <w:basedOn w:val="20"/>
    <w:qFormat/>
    <w:uiPriority w:val="0"/>
  </w:style>
  <w:style w:type="character" w:styleId="25">
    <w:name w:val="HTML Variable"/>
    <w:basedOn w:val="20"/>
    <w:qFormat/>
    <w:uiPriority w:val="0"/>
  </w:style>
  <w:style w:type="character" w:styleId="26">
    <w:name w:val="Hyperlink"/>
    <w:basedOn w:val="20"/>
    <w:qFormat/>
    <w:uiPriority w:val="0"/>
    <w:rPr>
      <w:color w:val="136EC2"/>
      <w:u w:val="none"/>
    </w:rPr>
  </w:style>
  <w:style w:type="character" w:styleId="27">
    <w:name w:val="HTML Code"/>
    <w:basedOn w:val="20"/>
    <w:qFormat/>
    <w:uiPriority w:val="0"/>
    <w:rPr>
      <w:rFonts w:ascii="Courier New" w:hAnsi="Courier New"/>
      <w:sz w:val="20"/>
    </w:rPr>
  </w:style>
  <w:style w:type="character" w:styleId="28">
    <w:name w:val="HTML Cite"/>
    <w:basedOn w:val="20"/>
    <w:qFormat/>
    <w:uiPriority w:val="0"/>
  </w:style>
  <w:style w:type="table" w:customStyle="1" w:styleId="29">
    <w:name w:val="Table Normal"/>
    <w:unhideWhenUsed/>
    <w:qFormat/>
    <w:uiPriority w:val="2"/>
    <w:tblPr>
      <w:tblCellMar>
        <w:top w:w="0" w:type="dxa"/>
        <w:left w:w="0" w:type="dxa"/>
        <w:bottom w:w="0" w:type="dxa"/>
        <w:right w:w="0" w:type="dxa"/>
      </w:tblCellMar>
    </w:tblPr>
  </w:style>
  <w:style w:type="paragraph" w:styleId="30">
    <w:name w:val="List Paragraph"/>
    <w:basedOn w:val="1"/>
    <w:qFormat/>
    <w:uiPriority w:val="1"/>
    <w:pPr>
      <w:ind w:left="1987" w:hanging="630"/>
    </w:pPr>
    <w:rPr>
      <w:rFonts w:ascii="宋体" w:hAnsi="宋体" w:eastAsia="宋体" w:cs="宋体"/>
      <w:lang w:val="zh-CN" w:eastAsia="zh-CN" w:bidi="zh-CN"/>
    </w:rPr>
  </w:style>
  <w:style w:type="paragraph" w:customStyle="1" w:styleId="31">
    <w:name w:val="Table Paragraph"/>
    <w:basedOn w:val="1"/>
    <w:qFormat/>
    <w:uiPriority w:val="1"/>
    <w:rPr>
      <w:rFonts w:ascii="宋体" w:hAnsi="宋体" w:eastAsia="宋体" w:cs="宋体"/>
      <w:lang w:val="zh-CN" w:eastAsia="zh-CN" w:bidi="zh-CN"/>
    </w:rPr>
  </w:style>
  <w:style w:type="paragraph" w:customStyle="1" w:styleId="3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样式 标题 3 + (中文) 黑体 小四 非加粗 段前: 7.8 磅 段后: 0 磅 行距: 固定值 20 磅"/>
    <w:basedOn w:val="4"/>
    <w:qFormat/>
    <w:uiPriority w:val="0"/>
    <w:pPr>
      <w:numPr>
        <w:ilvl w:val="2"/>
        <w:numId w:val="0"/>
      </w:numPr>
      <w:spacing w:before="0" w:beforeLines="0" w:after="0" w:afterLines="0" w:line="400" w:lineRule="exact"/>
    </w:pPr>
    <w:rPr>
      <w:rFonts w:eastAsia="黑体" w:cs="宋体"/>
      <w:kern w:val="2"/>
      <w:sz w:val="24"/>
      <w:szCs w:val="20"/>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character" w:customStyle="1" w:styleId="36">
    <w:name w:val="elite-lv2"/>
    <w:basedOn w:val="20"/>
    <w:qFormat/>
    <w:uiPriority w:val="0"/>
  </w:style>
  <w:style w:type="character" w:customStyle="1" w:styleId="37">
    <w:name w:val="on"/>
    <w:basedOn w:val="20"/>
    <w:qFormat/>
    <w:uiPriority w:val="0"/>
    <w:rPr>
      <w:color w:val="19B955"/>
    </w:rPr>
  </w:style>
  <w:style w:type="character" w:customStyle="1" w:styleId="38">
    <w:name w:val="entry-stat-author"/>
    <w:basedOn w:val="20"/>
    <w:qFormat/>
    <w:uiPriority w:val="0"/>
    <w:rPr>
      <w:color w:val="136EC2"/>
    </w:rPr>
  </w:style>
  <w:style w:type="character" w:customStyle="1" w:styleId="39">
    <w:name w:val="icon80"/>
    <w:basedOn w:val="20"/>
    <w:qFormat/>
    <w:uiPriority w:val="0"/>
    <w:rPr>
      <w:color w:val="FFFFFF"/>
    </w:rPr>
  </w:style>
  <w:style w:type="character" w:customStyle="1" w:styleId="40">
    <w:name w:val="hover61"/>
    <w:basedOn w:val="20"/>
    <w:qFormat/>
    <w:uiPriority w:val="0"/>
  </w:style>
  <w:style w:type="character" w:customStyle="1" w:styleId="41">
    <w:name w:val="entry-stat-author4"/>
    <w:basedOn w:val="20"/>
    <w:qFormat/>
    <w:uiPriority w:val="0"/>
    <w:rPr>
      <w:color w:val="136EC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2021-03-08T03:21:00Z</dcterms:created>
  <dc:creator>User</dc:creator>
  <cp:lastModifiedBy>DELL</cp:lastModifiedBy>
  <dcterms:modified xsi:type="dcterms:W3CDTF">2021-03-30T06:34:40Z</dcterms:modified>
  <dc:title>房屋建筑和市政工程标准施工招标文件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Office Word</vt:lpwstr>
  </property>
  <property fmtid="{D5CDD505-2E9C-101B-9397-08002B2CF9AE}" pid="4" name="LastSaved">
    <vt:filetime>2021-03-08T00:00:00Z</vt:filetime>
  </property>
  <property fmtid="{D5CDD505-2E9C-101B-9397-08002B2CF9AE}" pid="5" name="KSOProductBuildVer">
    <vt:lpwstr>2052-11.1.0.10356</vt:lpwstr>
  </property>
  <property fmtid="{D5CDD505-2E9C-101B-9397-08002B2CF9AE}" pid="6" name="ICV">
    <vt:lpwstr>B2B5726B2E6C43EC91FE0C6F19F770BB</vt:lpwstr>
  </property>
</Properties>
</file>